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bookmarkStart w:id="0" w:name="top"/>
      <w:bookmarkEnd w:id="0"/>
    </w:p>
    <w:p>
      <w:pPr>
        <w:jc w:val="left"/>
        <w:pBdr>
          <w:bottom w:val="single" w:sz="6" w:space="8" w:color="BFBFBF"/>
        </w:pBdr>
      </w:pPr>
      <w:r>
        <w:rPr>
          <w:b w:val="0"/>
          <w:color w:val="2F5496"/>
          <w:sz w:val="52"/>
        </w:rPr>
        <w:t>Morgan State University</w:t>
        <w:br/>
      </w:r>
      <w:r>
        <w:rPr>
          <w:b w:val="0"/>
          <w:color w:val="2F5496"/>
          <w:sz w:val="52"/>
        </w:rPr>
        <w:t>R&amp;D Evidence Classification Framework</w:t>
        <w:br/>
      </w:r>
      <w:r>
        <w:rPr>
          <w:b w:val="0"/>
          <w:color w:val="2F5496"/>
          <w:sz w:val="52"/>
        </w:rPr>
        <w:t>A Practical Framework for HERD Survey Classification</w:t>
        <w:br/>
      </w:r>
    </w:p>
    <w:p>
      <w:r>
        <w:rPr>
          <w:b/>
          <w:color w:val="2F5496"/>
          <w:sz w:val="22"/>
        </w:rPr>
        <w:t>PREPARED: AUGUST 2026</w:t>
      </w:r>
    </w:p>
    <w:p/>
    <w:p/>
    <w:p/>
    <w:p/>
    <w:p/>
    <w:p/>
    <w:tbl>
      <w:tblPr>
        <w:tblW w:type="auto" w:w="0"/>
        <w:tblLook w:firstColumn="1" w:firstRow="1" w:lastColumn="0" w:lastRow="0" w:noHBand="0" w:noVBand="1" w:val="04A0"/>
      </w:tblPr>
      <w:tblGrid>
        <w:gridCol w:w="9360"/>
      </w:tblGrid>
      <w:tr>
        <w:trPr>
          <w:trHeight w:val="144" w:hRule="exact"/>
        </w:trPr>
        <w:tc>
          <w:tcPr>
            <w:tcW w:type="dxa" w:w="9360"/>
            <w:shd w:val="clear" w:color="auto" w:fill="2F5496"/>
          </w:tcPr>
          <w:p/>
        </w:tc>
      </w:tr>
    </w:tbl>
    <w:p/>
    <w:tbl>
      <w:tblPr>
        <w:tblW w:type="auto" w:w="0"/>
        <w:tblLook w:firstColumn="1" w:firstRow="1" w:lastColumn="0" w:lastRow="0" w:noHBand="0" w:noVBand="1" w:val="04A0"/>
      </w:tblPr>
      <w:tblGrid>
        <w:gridCol w:w="9360"/>
      </w:tblGrid>
      <w:tr>
        <w:trPr>
          <w:trHeight w:val="1872"/>
        </w:trPr>
        <w:tc>
          <w:tcPr>
            <w:tcW w:type="dxa" w:w="9360"/>
            <w:shd w:val="clear" w:color="auto" w:fill="E97A2C"/>
            <w:vAlign w:val="center"/>
          </w:tcPr>
          <w:p>
            <w:r>
              <w:rPr>
                <w:b/>
                <w:color w:val="FFFFFF"/>
                <w:sz w:val="26"/>
              </w:rPr>
              <w:t>OFFICE OF RESEARCH ADMINISTRATION  |  morgan.edu/ora</w:t>
            </w:r>
          </w:p>
          <w:p>
            <w:r>
              <w:rPr>
                <w:color w:val="FFFFFF"/>
                <w:sz w:val="20"/>
              </w:rPr>
              <w:t>PREPARED BY AYOMIDE AJIBOLA, MBA  |  MORGAN STATE UNIVERSITY</w:t>
            </w:r>
          </w:p>
          <w:p>
            <w:r>
              <w:rPr>
                <w:color w:val="FFFFFF"/>
                <w:sz w:val="20"/>
              </w:rPr>
              <w:t>REVIEWED BY REBECCA STEINER  |  OFFICE OF RESEARCH ADMINISTRATION</w:t>
            </w:r>
          </w:p>
        </w:tc>
      </w:tr>
    </w:tbl>
    <w:p>
      <w:r>
        <w:br w:type="page"/>
      </w:r>
    </w:p>
    <w:p>
      <w:r>
        <w:rPr>
          <w:b w:val="0"/>
          <w:color w:val="2F5496"/>
          <w:sz w:val="32"/>
        </w:rPr>
        <w:t>Table of Contents</w:t>
      </w:r>
    </w:p>
    <w:p>
      <w:r>
        <w:rPr>
          <w:i/>
          <w:color w:val="5A6169"/>
        </w:rPr>
        <w:fldChar w:fldCharType="begin"/>
        <w:instrText xml:space="preserve">TOC \o "1-3" \h \z \u</w:instrText>
        <w:fldChar w:fldCharType="separate"/>
        <w:t>Right-click here and choose “Update Field” to generate the table of contents.</w:t>
        <w:fldChar w:fldCharType="end"/>
      </w:r>
    </w:p>
    <w:p>
      <w:r>
        <w:br w:type="page"/>
      </w:r>
    </w:p>
    <w:p>
      <w:pPr>
        <w:pStyle w:val="Heading1"/>
      </w:pPr>
      <w:r>
        <w:rPr>
          <w:b w:val="0"/>
          <w:color w:val="2F5496"/>
          <w:sz w:val="32"/>
        </w:rPr>
        <w:t>EXECUTIVE SUMMARY</w:t>
      </w:r>
    </w:p>
    <w:p>
      <w:pPr>
        <w:spacing w:after="160"/>
      </w:pPr>
      <w:r>
        <w:rPr>
          <w:b w:val="0"/>
          <w:i w:val="0"/>
          <w:sz w:val="22"/>
        </w:rPr>
        <w:t>The Higher Education Research and Development (HERD) Survey, administered annually by the National Science Foundation (NSF), is one of the most important mechanisms through which institutions of higher education report their research and development (R&amp;D) expenditure activity to the federal government. For Morgan State University, accurate HERD reporting is not just a compliance exercise — it is a direct measure of research capacity, competitive standing, and eligibility for federal funding programs.</w:t>
      </w:r>
    </w:p>
    <w:p>
      <w:pPr>
        <w:spacing w:after="160"/>
      </w:pPr>
      <w:r>
        <w:rPr>
          <w:b w:val="0"/>
          <w:i w:val="0"/>
          <w:sz w:val="22"/>
        </w:rPr>
        <w:t>Despite its significance, there has historically been no standardized, document-based methodology for determining what counts as R&amp;D activity within sponsored award portfolios. Most institutions rely on informal judgment, cursory sponsor identification, or simply the adoption of a prior year's classification. This creates inconsistency across reporting years, potential misclassification of awards, and limited defensibility in the event of audit or inquiry.</w:t>
      </w:r>
    </w:p>
    <w:p>
      <w:pPr>
        <w:spacing w:after="160"/>
      </w:pPr>
      <w:r>
        <w:rPr>
          <w:b w:val="0"/>
          <w:i w:val="0"/>
          <w:sz w:val="22"/>
        </w:rPr>
        <w:t>This document presents a five-level hierarchical framework developed by Morgan State University's Office of Research Administration (ORA) to bring rigor, consistency, and transparency to HERD R&amp;D classification. The framework — built around a hierarchy of evidence that begins with the Notice of Award (NOA) and progresses through Funding Opportunity Announcements (FOA), federal program catalog numbers, internal supporting documentation, and institutional records — provides all research staff with a clear, step-by-step process for making and defending R&amp;D classification decisions.</w:t>
      </w:r>
    </w:p>
    <w:p>
      <w:pPr>
        <w:spacing w:after="160"/>
      </w:pPr>
      <w:r>
        <w:rPr>
          <w:b w:val="0"/>
          <w:i w:val="0"/>
          <w:sz w:val="22"/>
        </w:rPr>
        <w:t>The framework was developed and validated through a comprehensive review of active and recently closed sponsored awards at Morgan State University. It also draws on NSF HERD Survey guidelines, the Frascati Manual published by the Organisation for Economic Co-operation and Development (OECD), federal program classification numbers (ALN/CFDA), and Morgan State's own PI Handbook (Part 5: Policies and Guidelines) as foundational sources.</w:t>
      </w:r>
    </w:p>
    <w:p>
      <w:pPr>
        <w:spacing w:after="160"/>
      </w:pPr>
      <w:r>
        <w:rPr>
          <w:b w:val="0"/>
          <w:i w:val="0"/>
          <w:sz w:val="22"/>
        </w:rPr>
        <w:t>The end product is a replicable institutional tool — one that Morgan State can apply consistently year over year, and one that peer HBCU institutions and broader research administration offices can adapt for their own portfolios.</w:t>
      </w:r>
    </w:p>
    <w:p>
      <w:pPr>
        <w:pStyle w:val="Heading1"/>
      </w:pPr>
      <w:r>
        <w:rPr>
          <w:b w:val="0"/>
          <w:color w:val="2F5496"/>
          <w:sz w:val="32"/>
        </w:rPr>
        <w:t>1. INTRODUCTION</w:t>
      </w:r>
    </w:p>
    <w:p>
      <w:pPr>
        <w:pStyle w:val="Heading2"/>
      </w:pPr>
      <w:r>
        <w:rPr>
          <w:b w:val="0"/>
          <w:color w:val="2F5496"/>
          <w:sz w:val="26"/>
        </w:rPr>
        <w:t>1.1 Background and Context</w:t>
      </w:r>
    </w:p>
    <w:p>
      <w:pPr>
        <w:spacing w:after="160"/>
      </w:pPr>
      <w:r>
        <w:rPr>
          <w:b w:val="0"/>
          <w:i w:val="0"/>
          <w:sz w:val="22"/>
        </w:rPr>
        <w:t>This guide was developed at Morgan State University and reflects classification challenges common to research-active institutions. Morgan State participates in the NSF HERD Survey annually to report its research and development (R&amp;D) expenditures. These reported figures have direct implications for federal funding allocations, institutional rankings, and the university's standing within the broader research enterprise.</w:t>
      </w:r>
    </w:p>
    <w:p>
      <w:pPr>
        <w:spacing w:after="160"/>
      </w:pPr>
      <w:r>
        <w:rPr>
          <w:b w:val="0"/>
          <w:i w:val="0"/>
          <w:sz w:val="22"/>
        </w:rPr>
        <w:t>The HERD Survey requires institutions to categorize their sponsored activity as R&amp;D or non-R&amp;D across three activity types: Basic Research, Applied Research, and Experimental Development. While NSF provides definitional guidance, the actual classification of individual awards is left to the discretion of each institution — different institutions place this responsibility in different offices.</w:t>
      </w:r>
    </w:p>
    <w:p>
      <w:pPr>
        <w:spacing w:after="160"/>
      </w:pPr>
      <w:r>
        <w:rPr>
          <w:b w:val="0"/>
          <w:i w:val="0"/>
          <w:sz w:val="22"/>
        </w:rPr>
        <w:t>In undertaking a systematic review of the HERD grant listing provided by Morgan State's Office of Research Administration (ORA), the review revealed inconsistencies between the existing classification and what could be supported by documentary evidence at the award level: some grants classified as R&amp;D lacked any supporting documentation to confirm research activity, while others classified as non-R&amp;D appeared — based on their funding source, purpose, and structure — to meet the NSF definition of R&amp;D.</w:t>
      </w:r>
    </w:p>
    <w:p>
      <w:pPr>
        <w:spacing w:after="160"/>
      </w:pPr>
      <w:r>
        <w:rPr>
          <w:b w:val="0"/>
          <w:i w:val="0"/>
          <w:sz w:val="22"/>
        </w:rPr>
        <w:t>This gap between classification and evidence motivated the development of a formal, document-based determination framework. The goal was not to simply reclassify awards, but to establish a transparent, consistent, and defensible methodology that Morgan State can apply going forward.</w:t>
      </w:r>
    </w:p>
    <w:p>
      <w:pPr>
        <w:pStyle w:val="Heading2"/>
      </w:pPr>
      <w:r>
        <w:rPr>
          <w:b w:val="0"/>
          <w:color w:val="2F5496"/>
          <w:sz w:val="26"/>
        </w:rPr>
        <w:t>1.2 Purpose</w:t>
      </w:r>
    </w:p>
    <w:p>
      <w:pPr>
        <w:spacing w:after="160"/>
      </w:pPr>
      <w:r>
        <w:rPr>
          <w:b w:val="0"/>
          <w:i w:val="0"/>
          <w:sz w:val="22"/>
        </w:rPr>
        <w:t>This guide serves several purposes: to define what R&amp;D means in the context of HERD Survey reporting and how that definition applies to sponsored awards; to present a step-by-step, five-level classification framework that any research administrator can apply to any sponsored award; to document the sources, evidence types, and reasoning that support each classification level; to serve as a reference for peer institutions seeking to build or improve their own HERD classification process; and to provide a repository of key external references, federal guidelines, and institutional context that informed the framework.</w:t>
      </w:r>
    </w:p>
    <w:p>
      <w:pPr>
        <w:pStyle w:val="Heading1"/>
      </w:pPr>
      <w:r>
        <w:rPr>
          <w:b w:val="0"/>
          <w:color w:val="2F5496"/>
          <w:sz w:val="32"/>
        </w:rPr>
        <w:t>2. DEFINING R&amp;D: THE REGULATORY FOUNDATION</w:t>
      </w:r>
    </w:p>
    <w:p>
      <w:pPr>
        <w:pStyle w:val="Heading2"/>
      </w:pPr>
      <w:r>
        <w:rPr>
          <w:b w:val="0"/>
          <w:color w:val="2F5496"/>
          <w:sz w:val="26"/>
        </w:rPr>
        <w:t>2.1 The NSF HERD Survey Definition</w:t>
      </w:r>
    </w:p>
    <w:p>
      <w:pPr>
        <w:spacing w:after="160"/>
      </w:pPr>
      <w:r>
        <w:rPr>
          <w:b w:val="0"/>
          <w:i w:val="0"/>
          <w:sz w:val="22"/>
        </w:rPr>
        <w:t>The NSF HERD Survey follows the definitions established in the Frascati Manual (OECD, 2015), the internationally recognized standard for measuring R&amp;D produced by the Organisation for Economic Co-operation and Development (OECD). Under this framework, Research and Development (R&amp;D) is defined as creative and systematic work undertaken to increase the stock of knowledge — including knowledge of humankind, culture, and society — and to devise new applications of available knowledge.</w:t>
      </w:r>
    </w:p>
    <w:p>
      <w:pPr>
        <w:spacing w:after="160"/>
      </w:pPr>
      <w:r>
        <w:rPr>
          <w:b w:val="0"/>
          <w:i w:val="0"/>
          <w:sz w:val="22"/>
        </w:rPr>
        <w:t>NSF operationalizes this for higher education through three activity types:</w:t>
      </w:r>
    </w:p>
    <w:p>
      <w:pPr>
        <w:pStyle w:val="ListBullet"/>
      </w:pPr>
      <w:r>
        <w:t>Basic Research — pursuing new knowledge with no specific application in mind.</w:t>
      </w:r>
    </w:p>
    <w:p>
      <w:pPr>
        <w:pStyle w:val="ListBullet"/>
      </w:pPr>
      <w:r>
        <w:t>Applied Research — investigation aimed at a specific practical objective.</w:t>
      </w:r>
    </w:p>
    <w:p>
      <w:pPr>
        <w:pStyle w:val="ListBullet"/>
      </w:pPr>
      <w:r>
        <w:t>Experimental Development — using research knowledge to develop or improve a product or process.</w:t>
      </w:r>
    </w:p>
    <w:p>
      <w:pPr>
        <w:spacing w:after="160"/>
      </w:pPr>
      <w:r>
        <w:rPr>
          <w:b w:val="0"/>
          <w:i w:val="0"/>
          <w:sz w:val="22"/>
        </w:rPr>
        <w:t>To qualify as R&amp;D, an activity must be: novel, in that it seeks knowledge or outcomes not already available; creative, in that it involves original concepts and hypotheses; uncertain in outcome; systematic, in that it follows a planned methodology; and transferable or reproducible, in that its results can be communicated and validated.</w:t>
      </w:r>
    </w:p>
    <w:p>
      <w:pPr>
        <w:spacing w:after="160"/>
      </w:pPr>
      <w:r>
        <w:rPr>
          <w:b w:val="0"/>
          <w:i w:val="0"/>
          <w:sz w:val="22"/>
        </w:rPr>
        <w:t>The key test is whether the award funds the generation of new knowledge. This distinguishes R&amp;D from education, training, service delivery, technical assistance, and infrastructure support — all of which may be valuable activities funded through sponsored awards but are not, by definition, R&amp;D.</w:t>
      </w:r>
    </w:p>
    <w:p>
      <w:pPr>
        <w:pStyle w:val="Heading2"/>
      </w:pPr>
      <w:r>
        <w:rPr>
          <w:b w:val="0"/>
          <w:color w:val="2F5496"/>
          <w:sz w:val="26"/>
        </w:rPr>
        <w:t>2.2 What Is NOT R&amp;D</w:t>
      </w:r>
    </w:p>
    <w:p>
      <w:pPr>
        <w:spacing w:after="160"/>
      </w:pPr>
      <w:r>
        <w:rPr>
          <w:b w:val="0"/>
          <w:i w:val="0"/>
          <w:sz w:val="22"/>
        </w:rPr>
        <w:t>Understanding what falls outside the R&amp;D definition is as important as understanding what is included. The following categories of sponsored activity are generally not classified as R&amp;D, even when funded by federal agencies known primarily for research funding: workforce development and training programs, including STEM education pipelines, apprenticeships, and pre-college outreach; service delivery contracts, including public health program delivery, transportation services, and social services coordination; equipment and infrastructure grants, unless the equipment acquisition directly enables and is integral to a research project; educational curriculum development, unless the project itself is studying the educational intervention as a research object; institutional capacity-building, meaning general operational or administrative grants without a defined research objective; and conference and dissemination grants, unless the conference includes substantive research presentations and is classified as such by the funding agency (e.g., NSF conference grants).</w:t>
      </w:r>
    </w:p>
    <w:p>
      <w:pPr>
        <w:spacing w:after="160"/>
      </w:pPr>
      <w:r>
        <w:rPr>
          <w:b w:val="0"/>
          <w:i w:val="0"/>
          <w:sz w:val="22"/>
        </w:rPr>
        <w:t>A common challenge is that many grants blend activities — a project may include both research components and training or service components. In such cases, the primary purpose of the award, as stated in the NOA and funding opportunity, governs classification.</w:t>
      </w:r>
    </w:p>
    <w:p>
      <w:pPr>
        <w:pStyle w:val="Heading2"/>
      </w:pPr>
      <w:r>
        <w:rPr>
          <w:b w:val="0"/>
          <w:color w:val="2F5496"/>
          <w:sz w:val="26"/>
        </w:rPr>
        <w:t>2.3 The Morgan State University Institutional Definition</w:t>
      </w:r>
    </w:p>
    <w:p>
      <w:pPr>
        <w:spacing w:after="160"/>
      </w:pPr>
      <w:r>
        <w:rPr>
          <w:b w:val="0"/>
          <w:i w:val="0"/>
          <w:sz w:val="22"/>
        </w:rPr>
        <w:t>As a reminder, research and development (R&amp;D) is creative and systematic work undertaken to increase the stock of knowledge and to devise new applications of that knowledge (Frascati Manual, OECD, 2015). Morgan State's own institutional policy reinforces this definition.</w:t>
      </w:r>
    </w:p>
    <w:p>
      <w:pPr>
        <w:spacing w:after="160"/>
      </w:pPr>
      <w:r>
        <w:rPr>
          <w:b w:val="0"/>
          <w:i w:val="0"/>
          <w:sz w:val="22"/>
        </w:rPr>
        <w:t>Morgan State University's PI Handbook (Part 5, Definition D under the Conflicts of Interest policy) defines “research or development” as: “basic or applied research or development, and includes the development or marketing of university-owned technology, the acquisition of services of an official or employee by an entity for research and development purposes, or participation in State economic development programs” (Morgan State University, 2024, p. 6).</w:t>
      </w:r>
    </w:p>
    <w:p>
      <w:pPr>
        <w:spacing w:after="160"/>
      </w:pPr>
      <w:r>
        <w:rPr>
          <w:b w:val="0"/>
          <w:i w:val="0"/>
          <w:sz w:val="22"/>
        </w:rPr>
        <w:t>This institutional definition is consistent with NSF and Frascati standards and further anchors the classification framework within existing Morgan State policy. Importantly, it extends to technology development and state economic development programs, reflecting the full breadth of sponsored activity that may constitute research and development (R&amp;D) at Morgan State.</w:t>
      </w:r>
    </w:p>
    <w:p>
      <w:pPr>
        <w:pStyle w:val="Heading1"/>
      </w:pPr>
      <w:r>
        <w:rPr>
          <w:b w:val="0"/>
          <w:color w:val="2F5496"/>
          <w:sz w:val="32"/>
        </w:rPr>
        <w:t>3. WHY R&amp;D CLASSIFICATION MATTERS</w:t>
      </w:r>
    </w:p>
    <w:p>
      <w:pPr>
        <w:pStyle w:val="Heading2"/>
      </w:pPr>
      <w:r>
        <w:rPr>
          <w:b w:val="0"/>
          <w:color w:val="2F5496"/>
          <w:sz w:val="26"/>
        </w:rPr>
        <w:t>3.1 Institutional Metrics</w:t>
      </w:r>
    </w:p>
    <w:p>
      <w:pPr>
        <w:spacing w:after="160"/>
      </w:pPr>
      <w:r>
        <w:rPr>
          <w:b w:val="0"/>
          <w:i w:val="0"/>
          <w:sz w:val="22"/>
        </w:rPr>
        <w:t>HERD Survey data is widely used as a proxy for research activity and capacity across U.S. higher education institutions. Several consequential decisions are driven by HERD-reported figures:</w:t>
      </w:r>
    </w:p>
    <w:p>
      <w:pPr>
        <w:pStyle w:val="Heading3"/>
      </w:pPr>
      <w:r>
        <w:rPr>
          <w:b/>
          <w:i w:val="0"/>
          <w:color w:val="000000"/>
          <w:sz w:val="23"/>
        </w:rPr>
        <w:t>Federal Funding Eligibility and Allocations</w:t>
      </w:r>
    </w:p>
    <w:p>
      <w:pPr>
        <w:spacing w:after="160"/>
      </w:pPr>
      <w:r>
        <w:rPr>
          <w:b w:val="0"/>
          <w:i w:val="0"/>
          <w:sz w:val="22"/>
        </w:rPr>
        <w:t>The National Institutes of Health (NIH), the National Science Foundation (NSF), and other federal agencies use HERD data in their program allocation models. Institutions that report higher R&amp;D expenditures can access broader pools of funding, including certain set-aside programs and capacity-building grants — some specifically designed for institutions with demonstrated research infrastructure, and others, such as NSF's GRANTED program, designed for institutions demonstrating that they do not yet have that infrastructure.</w:t>
      </w:r>
    </w:p>
    <w:p>
      <w:pPr>
        <w:pStyle w:val="Heading3"/>
      </w:pPr>
      <w:r>
        <w:rPr>
          <w:b/>
          <w:i w:val="0"/>
          <w:color w:val="000000"/>
          <w:sz w:val="23"/>
        </w:rPr>
        <w:t>Institutional Rankings and Visibility</w:t>
      </w:r>
    </w:p>
    <w:p>
      <w:pPr>
        <w:spacing w:after="160"/>
      </w:pPr>
      <w:r>
        <w:rPr>
          <w:b w:val="0"/>
          <w:i w:val="0"/>
          <w:sz w:val="22"/>
        </w:rPr>
        <w:t>HERD data feeds directly into national research rankings, including NSF's own R&amp;D expenditure rankings and Carnegie Classification® criteria for research universities. For Morgan State, maintaining and improving its Carnegie classification depends in part on accurately capturing and reporting the full scope of R&amp;D activity across the institution.</w:t>
      </w:r>
    </w:p>
    <w:p>
      <w:pPr>
        <w:pStyle w:val="Heading3"/>
      </w:pPr>
      <w:r>
        <w:rPr>
          <w:b/>
          <w:i w:val="0"/>
          <w:color w:val="000000"/>
          <w:sz w:val="23"/>
        </w:rPr>
        <w:t>Facilities and Administrative (F&amp;A) Cost Recovery</w:t>
      </w:r>
    </w:p>
    <w:p>
      <w:pPr>
        <w:spacing w:after="160"/>
      </w:pPr>
      <w:r>
        <w:rPr>
          <w:b w:val="0"/>
          <w:i w:val="0"/>
          <w:sz w:val="22"/>
        </w:rPr>
        <w:t>R&amp;D expenditure is a critical input in the calculation of Facilities and Administrative (F&amp;A) cost rates. Misclassifying R&amp;D activity as non-R&amp;D can reduce the base on which F&amp;A costs are calculated and recovered, directly affecting the institution's ability to cover research infrastructure costs. Accurate classification is therefore not just a reporting function — it has direct financial implications.</w:t>
      </w:r>
    </w:p>
    <w:p>
      <w:pPr>
        <w:pStyle w:val="Heading3"/>
      </w:pPr>
      <w:r>
        <w:rPr>
          <w:b/>
          <w:i w:val="0"/>
          <w:color w:val="000000"/>
          <w:sz w:val="23"/>
        </w:rPr>
        <w:t>Peer Benchmarking and Competitive Positioning</w:t>
      </w:r>
    </w:p>
    <w:p>
      <w:pPr>
        <w:spacing w:after="160"/>
      </w:pPr>
      <w:r>
        <w:rPr>
          <w:b w:val="0"/>
          <w:i w:val="0"/>
          <w:sz w:val="22"/>
        </w:rPr>
        <w:t>HERD data enables Morgan State to benchmark itself against peer institutions. Inaccurate reporting — in either direction — distorts the institution's competitive picture and can affect strategic planning, grant-seeking, and partnership development.</w:t>
      </w:r>
    </w:p>
    <w:p>
      <w:pPr>
        <w:pStyle w:val="Heading3"/>
      </w:pPr>
      <w:r>
        <w:rPr>
          <w:b/>
          <w:i w:val="0"/>
          <w:color w:val="000000"/>
          <w:sz w:val="23"/>
        </w:rPr>
        <w:t>Audit and Compliance Risk</w:t>
      </w:r>
    </w:p>
    <w:p>
      <w:pPr>
        <w:spacing w:after="160"/>
      </w:pPr>
      <w:r>
        <w:rPr>
          <w:b w:val="0"/>
          <w:i w:val="0"/>
          <w:sz w:val="22"/>
        </w:rPr>
        <w:t>Because HERD data is tied to federal reporting obligations, misclassification creates compliance risk. An institution that consistently misreports R&amp;D activity — in either direction — could face scrutiny from NSF, its cognizant federal agency, or during indirect cost rate negotiations. A documented, evidence-based classification methodology provides the strongest defense in the event of any inquiry.</w:t>
      </w:r>
    </w:p>
    <w:p>
      <w:pPr>
        <w:pStyle w:val="Heading2"/>
      </w:pPr>
      <w:r>
        <w:rPr>
          <w:b w:val="0"/>
          <w:color w:val="2F5496"/>
          <w:sz w:val="26"/>
        </w:rPr>
        <w:t>3.2 The HBCU and MSI Context</w:t>
      </w:r>
    </w:p>
    <w:p>
      <w:pPr>
        <w:spacing w:after="160"/>
      </w:pPr>
      <w:r>
        <w:rPr>
          <w:b w:val="0"/>
          <w:i w:val="0"/>
          <w:sz w:val="22"/>
        </w:rPr>
        <w:t>Historically Black Colleges and Universities (HBCUs) and Minority-Serving Institutions (MSIs) often receive a significant proportion of their sponsored funding through community-engaged, service-oriented, and education-focused programs — many funded by agencies that also fund research, creating classification ambiguity. At the same time, these institutions are increasingly active in applied research, STEM workforce development research, and community-based participatory research, all of which may qualify as R&amp;D under the appropriate standards. Building a robust, evidence-based classification framework helps ensure that legitimate R&amp;D activity at Morgan State is captured, counted, and credited.</w:t>
      </w:r>
    </w:p>
    <w:p>
      <w:pPr>
        <w:pStyle w:val="Heading1"/>
      </w:pPr>
      <w:r>
        <w:rPr>
          <w:b w:val="0"/>
          <w:color w:val="2F5496"/>
          <w:sz w:val="32"/>
        </w:rPr>
        <w:t>4. THE FIVE-LEVEL CLASSIFICATION FRAMEWORK</w:t>
      </w:r>
    </w:p>
    <w:p>
      <w:pPr>
        <w:pStyle w:val="Heading2"/>
      </w:pPr>
      <w:r>
        <w:rPr>
          <w:b w:val="0"/>
          <w:color w:val="2F5496"/>
          <w:sz w:val="26"/>
        </w:rPr>
        <w:t>4.1 Framework Overview</w:t>
      </w:r>
    </w:p>
    <w:p>
      <w:pPr>
        <w:spacing w:after="160"/>
      </w:pPr>
      <w:r>
        <w:rPr>
          <w:b w:val="0"/>
          <w:i w:val="0"/>
          <w:sz w:val="22"/>
        </w:rPr>
        <w:t>The R&amp;D Classification Framework is built around a hierarchy of evidence. The central principle is straightforward: the strongest evidence for whether a sponsored award constitutes R&amp;D activity is the award document itself. When the award is clear, classification begins and ends there. When it is not, the reviewer works systematically through additional sources of evidence until a supported determination can be made.</w:t>
      </w:r>
    </w:p>
    <w:p>
      <w:pPr>
        <w:spacing w:after="160"/>
      </w:pPr>
      <w:r>
        <w:rPr>
          <w:b w:val="0"/>
          <w:i w:val="0"/>
          <w:sz w:val="22"/>
        </w:rPr>
        <w:t>This hierarchical approach has two practical advantages. First, it is efficient — reviewers stop at the first level that provides a conclusive answer, without needing to gather unnecessary documentation. Second, it is defensible — the classification is always traceable to a specific, named source of evidence that can be produced in the event of audit or inquiry.</w:t>
      </w:r>
    </w:p>
    <w:p>
      <w:pPr>
        <w:spacing w:after="160"/>
      </w:pPr>
      <w:r>
        <w:rPr>
          <w:b w:val="0"/>
          <w:i w:val="0"/>
          <w:sz w:val="22"/>
        </w:rPr>
        <w:t>The framework consists of five levels, summarized below:</w:t>
      </w:r>
    </w:p>
    <w:tbl>
      <w:tblPr>
        <w:tblStyle w:val="TableGrid"/>
        <w:tblW w:type="auto" w:w="0"/>
        <w:tblLook w:firstColumn="1" w:firstRow="1" w:lastColumn="0" w:lastRow="0" w:noHBand="0" w:noVBand="1" w:val="04A0"/>
      </w:tblPr>
      <w:tblGrid>
        <w:gridCol w:w="3120"/>
        <w:gridCol w:w="3120"/>
        <w:gridCol w:w="3120"/>
      </w:tblGrid>
      <w:tr>
        <w:tc>
          <w:tcPr>
            <w:tcW w:type="dxa" w:w="3120"/>
            <w:shd w:val="clear" w:color="auto" w:fill="E7E6E6"/>
          </w:tcPr>
          <w:p>
            <w:r>
              <w:rPr>
                <w:b/>
                <w:color w:val="000000"/>
                <w:sz w:val="20"/>
              </w:rPr>
              <w:t>Level</w:t>
            </w:r>
          </w:p>
        </w:tc>
        <w:tc>
          <w:tcPr>
            <w:tcW w:type="dxa" w:w="3120"/>
            <w:shd w:val="clear" w:color="auto" w:fill="E7E6E6"/>
          </w:tcPr>
          <w:p>
            <w:r>
              <w:rPr>
                <w:b/>
                <w:color w:val="000000"/>
                <w:sz w:val="20"/>
              </w:rPr>
              <w:t>Source</w:t>
            </w:r>
          </w:p>
        </w:tc>
        <w:tc>
          <w:tcPr>
            <w:tcW w:type="dxa" w:w="3120"/>
            <w:shd w:val="clear" w:color="auto" w:fill="E7E6E6"/>
          </w:tcPr>
          <w:p>
            <w:r>
              <w:rPr>
                <w:b/>
                <w:color w:val="000000"/>
                <w:sz w:val="20"/>
              </w:rPr>
              <w:t>When to Use</w:t>
            </w:r>
          </w:p>
        </w:tc>
      </w:tr>
      <w:tr>
        <w:tc>
          <w:tcPr>
            <w:tcW w:type="dxa" w:w="3120"/>
          </w:tcPr>
          <w:p>
            <w:r>
              <w:rPr>
                <w:color w:val="000000"/>
                <w:sz w:val="20"/>
              </w:rPr>
              <w:t>L1 — Notice of Award (NOA)</w:t>
            </w:r>
          </w:p>
        </w:tc>
        <w:tc>
          <w:tcPr>
            <w:tcW w:type="dxa" w:w="3120"/>
          </w:tcPr>
          <w:p>
            <w:r>
              <w:rPr>
                <w:color w:val="000000"/>
                <w:sz w:val="20"/>
              </w:rPr>
              <w:t>Award letter or electronic notice issued by the sponsor</w:t>
            </w:r>
          </w:p>
        </w:tc>
        <w:tc>
          <w:tcPr>
            <w:tcW w:type="dxa" w:w="3120"/>
          </w:tcPr>
          <w:p>
            <w:r>
              <w:rPr>
                <w:color w:val="000000"/>
                <w:sz w:val="20"/>
              </w:rPr>
              <w:t>First step for every grant. If the NOA states a research purpose, stop here.</w:t>
            </w:r>
          </w:p>
        </w:tc>
      </w:tr>
      <w:tr>
        <w:tc>
          <w:tcPr>
            <w:tcW w:type="dxa" w:w="3120"/>
          </w:tcPr>
          <w:p>
            <w:r>
              <w:rPr>
                <w:color w:val="000000"/>
                <w:sz w:val="20"/>
              </w:rPr>
              <w:t>L2 — Funding Opportunity Announcement (FOA/RFA*)</w:t>
            </w:r>
          </w:p>
        </w:tc>
        <w:tc>
          <w:tcPr>
            <w:tcW w:type="dxa" w:w="3120"/>
          </w:tcPr>
          <w:p>
            <w:r>
              <w:rPr>
                <w:color w:val="000000"/>
                <w:sz w:val="20"/>
              </w:rPr>
              <w:t>NSF solicitation, NIH RFA*, DOE FOA, or equivalent</w:t>
            </w:r>
          </w:p>
        </w:tc>
        <w:tc>
          <w:tcPr>
            <w:tcW w:type="dxa" w:w="3120"/>
          </w:tcPr>
          <w:p>
            <w:r>
              <w:rPr>
                <w:color w:val="000000"/>
                <w:sz w:val="20"/>
              </w:rPr>
              <w:t>When the NOA does not explicitly describe research activity, check the funding announcement.</w:t>
            </w:r>
          </w:p>
        </w:tc>
      </w:tr>
      <w:tr>
        <w:tc>
          <w:tcPr>
            <w:tcW w:type="dxa" w:w="3120"/>
          </w:tcPr>
          <w:p>
            <w:r>
              <w:rPr>
                <w:color w:val="000000"/>
                <w:sz w:val="20"/>
              </w:rPr>
              <w:t>L3 — ALN/CFDA Number</w:t>
            </w:r>
          </w:p>
        </w:tc>
        <w:tc>
          <w:tcPr>
            <w:tcW w:type="dxa" w:w="3120"/>
          </w:tcPr>
          <w:p>
            <w:r>
              <w:rPr>
                <w:color w:val="000000"/>
                <w:sz w:val="20"/>
              </w:rPr>
              <w:t>Assistance Listings Number via SAM.gov</w:t>
            </w:r>
          </w:p>
        </w:tc>
        <w:tc>
          <w:tcPr>
            <w:tcW w:type="dxa" w:w="3120"/>
          </w:tcPr>
          <w:p>
            <w:r>
              <w:rPr>
                <w:color w:val="000000"/>
                <w:sz w:val="20"/>
              </w:rPr>
              <w:t>When the FOA is unavailable or inconclusive, look up the federal program classification.</w:t>
            </w:r>
          </w:p>
        </w:tc>
      </w:tr>
      <w:tr>
        <w:tc>
          <w:tcPr>
            <w:tcW w:type="dxa" w:w="3120"/>
          </w:tcPr>
          <w:p>
            <w:r>
              <w:rPr>
                <w:color w:val="000000"/>
                <w:sz w:val="20"/>
              </w:rPr>
              <w:t>L4 — Supporting Documentation</w:t>
            </w:r>
          </w:p>
        </w:tc>
        <w:tc>
          <w:tcPr>
            <w:tcW w:type="dxa" w:w="3120"/>
          </w:tcPr>
          <w:p>
            <w:r>
              <w:rPr>
                <w:color w:val="000000"/>
                <w:sz w:val="20"/>
              </w:rPr>
              <w:t>Internal Routing Form (IRF), Letter of Intent, Statement of Work, Principal Investigator (PI) statement, proposal summary</w:t>
            </w:r>
          </w:p>
        </w:tc>
        <w:tc>
          <w:tcPr>
            <w:tcW w:type="dxa" w:w="3120"/>
          </w:tcPr>
          <w:p>
            <w:r>
              <w:rPr>
                <w:color w:val="000000"/>
                <w:sz w:val="20"/>
              </w:rPr>
              <w:t>When federal-level sources are insufficient, review internal project documentation.</w:t>
            </w:r>
          </w:p>
        </w:tc>
      </w:tr>
      <w:tr>
        <w:tc>
          <w:tcPr>
            <w:tcW w:type="dxa" w:w="3120"/>
          </w:tcPr>
          <w:p>
            <w:r>
              <w:rPr>
                <w:color w:val="000000"/>
                <w:sz w:val="20"/>
              </w:rPr>
              <w:t>L5 — Institutional Record</w:t>
            </w:r>
          </w:p>
        </w:tc>
        <w:tc>
          <w:tcPr>
            <w:tcW w:type="dxa" w:w="3120"/>
          </w:tcPr>
          <w:p>
            <w:r>
              <w:rPr>
                <w:color w:val="000000"/>
                <w:sz w:val="20"/>
              </w:rPr>
              <w:t>Office of Research Funds Accounting (RFA†) records, HERD listing, Restricted Fund Account designation</w:t>
            </w:r>
          </w:p>
        </w:tc>
        <w:tc>
          <w:tcPr>
            <w:tcW w:type="dxa" w:w="3120"/>
          </w:tcPr>
          <w:p>
            <w:r>
              <w:rPr>
                <w:color w:val="000000"/>
                <w:sz w:val="20"/>
              </w:rPr>
              <w:t>When no other documentation is accessible, use the existing institutional designation.</w:t>
            </w:r>
          </w:p>
        </w:tc>
      </w:tr>
    </w:tbl>
    <w:p/>
    <w:p>
      <w:pPr>
        <w:spacing w:after="200"/>
        <w:ind w:left="360"/>
      </w:pPr>
      <w:r>
        <w:rPr>
          <w:i/>
          <w:color w:val="5A6169"/>
          <w:sz w:val="20"/>
        </w:rPr>
        <w:t>* RFA in “FOA/RFA” = Request for Applications, the NIH term for a funding opportunity announcement.   † RFA in “Office of Research Funds Accounting” refers to the internal office, not the funding-announcement term above.</w:t>
      </w:r>
    </w:p>
    <w:p>
      <w:pPr>
        <w:spacing w:after="160"/>
      </w:pPr>
      <w:r>
        <w:rPr>
          <w:b w:val="0"/>
          <w:i w:val="0"/>
          <w:sz w:val="22"/>
        </w:rPr>
        <w:t>A grant classified at Level 1 (NOA) has the strongest evidence base. A grant classified at Level 5 (Institutional Record) has the weakest — not because the classification is wrong, but because the documentation supporting it is more indirect. Over time, the goal is to move grants from Level 5 toward Level 1 and Level 2 as documentation is gathered and filed.</w:t>
      </w:r>
    </w:p>
    <w:p>
      <w:pPr>
        <w:pStyle w:val="Heading2"/>
      </w:pPr>
      <w:r>
        <w:rPr>
          <w:b w:val="0"/>
          <w:color w:val="2F5496"/>
          <w:sz w:val="26"/>
        </w:rPr>
        <w:t>4.2 Level 1 — Notice of Award (NOA)</w:t>
      </w:r>
    </w:p>
    <w:p>
      <w:pPr>
        <w:pStyle w:val="Heading3"/>
      </w:pPr>
      <w:r>
        <w:rPr>
          <w:b/>
          <w:i w:val="0"/>
          <w:color w:val="000000"/>
          <w:sz w:val="23"/>
        </w:rPr>
        <w:t>What it is</w:t>
      </w:r>
    </w:p>
    <w:p>
      <w:pPr>
        <w:spacing w:after="160"/>
      </w:pPr>
      <w:r>
        <w:rPr>
          <w:b w:val="0"/>
          <w:i w:val="0"/>
          <w:sz w:val="22"/>
        </w:rPr>
        <w:t>The Notice of Award is the official document issued by the funding agency that formally grants the award. It contains the project title, period of performance, award amount, applicable terms and conditions, and — critically — a statement of the project's purpose or scope. For federal awards, the NOA is typically issued electronically through systems like NIH eRA Commons, the NSF Award System, or grants.gov. Under Uniform Guidance (2 CFR Part 200), a federal NOA is also required to include the applicable ALN/CFDA number.</w:t>
      </w:r>
    </w:p>
    <w:p>
      <w:pPr>
        <w:pStyle w:val="Heading3"/>
      </w:pPr>
      <w:r>
        <w:rPr>
          <w:b/>
          <w:i w:val="0"/>
          <w:color w:val="000000"/>
          <w:sz w:val="23"/>
        </w:rPr>
        <w:t>Why it is the strongest evidence</w:t>
      </w:r>
    </w:p>
    <w:p>
      <w:pPr>
        <w:spacing w:after="160"/>
      </w:pPr>
      <w:r>
        <w:rPr>
          <w:b w:val="0"/>
          <w:i w:val="0"/>
          <w:sz w:val="22"/>
        </w:rPr>
        <w:t>The NOA is the contract between the institution and the sponsor. It reflects the sponsor's own understanding of what the award funds. Critically, federal agencies are required to directly answer the question “Is this award R&amp;D?” on the Notice of Award itself — NSF, NIH, and NASA notices all include this direct indication. That direct answer is the strongest and most compelling evidence available, and should be the first thing a reviewer looks for.</w:t>
      </w:r>
    </w:p>
    <w:p>
      <w:pPr>
        <w:pStyle w:val="Heading3"/>
      </w:pPr>
      <w:r>
        <w:rPr>
          <w:b/>
          <w:i w:val="0"/>
          <w:color w:val="000000"/>
          <w:sz w:val="23"/>
        </w:rPr>
        <w:t>How to apply it</w:t>
      </w:r>
    </w:p>
    <w:p>
      <w:pPr>
        <w:spacing w:after="160"/>
      </w:pPr>
      <w:r>
        <w:rPr>
          <w:b w:val="0"/>
          <w:i w:val="0"/>
          <w:sz w:val="22"/>
        </w:rPr>
        <w:t>First, look for a direct indication of R&amp;D status on the NOA — an explicit “Is this R&amp;D?” field or activity-type designation. If present, that answer governs the classification. Only when no direct indicator is present should a reviewer fall back to reading the NOA's purpose language for words and phrases like: research, study, investigate, analyze, develop new knowledge, hypothesis, experimental, data collection, findings, outcomes measurement. If such language is present and the primary activity is the generation of new knowledge, classify as R&amp;D and record Level 1 as the basis. If the NOA describes the primary activity as service delivery, training, outreach, technical assistance, or infrastructure, classify as Not R&amp;D — also at Level 1. The level does not automatically mean R&amp;D; it means the determination is based on the NOA.</w:t>
      </w:r>
    </w:p>
    <w:p>
      <w:pPr>
        <w:spacing w:after="160"/>
      </w:pPr>
      <w:r>
        <w:rPr>
          <w:b w:val="0"/>
          <w:i/>
          <w:sz w:val="22"/>
        </w:rPr>
        <w:t>Example (L1 — R&amp;D): An NIH Career Transition Award. The NOA directly indicates the award is R&amp;D. The award funds structured research training with hypothesis-driven scientific inquiry. Classified R&amp;D — Basic Research.</w:t>
      </w:r>
    </w:p>
    <w:p>
      <w:pPr>
        <w:spacing w:after="160"/>
      </w:pPr>
      <w:r>
        <w:rPr>
          <w:b w:val="0"/>
          <w:i/>
          <w:sz w:val="22"/>
        </w:rPr>
        <w:t>Example (L1 — Not R&amp;D): A state equipment grant. NOA reviewed; no direct R&amp;D indicator is present, and the award language describes the purchase of security infrastructure equipment for the institution, with no research objective identified. Classified Not R&amp;D.</w:t>
      </w:r>
    </w:p>
    <w:p>
      <w:pPr>
        <w:pStyle w:val="Heading2"/>
      </w:pPr>
      <w:r>
        <w:rPr>
          <w:b w:val="0"/>
          <w:color w:val="2F5496"/>
          <w:sz w:val="26"/>
        </w:rPr>
        <w:t>4.3 Level 2 — Funding Opportunity Announcement (FOA / RFA)</w:t>
      </w:r>
    </w:p>
    <w:p>
      <w:pPr>
        <w:pStyle w:val="Heading3"/>
      </w:pPr>
      <w:r>
        <w:rPr>
          <w:b/>
          <w:i w:val="0"/>
          <w:color w:val="000000"/>
          <w:sz w:val="23"/>
        </w:rPr>
        <w:t>What it is</w:t>
      </w:r>
    </w:p>
    <w:p>
      <w:pPr>
        <w:spacing w:after="160"/>
      </w:pPr>
      <w:r>
        <w:rPr>
          <w:b w:val="0"/>
          <w:i w:val="0"/>
          <w:sz w:val="22"/>
        </w:rPr>
        <w:t>The Funding Opportunity Announcement (FOA) — NSF and DOE (Department of Energy) call these Program Solicitations or Funding Opportunity Announcements; NIH uses Requests for Applications (RFA) or Requests for Proposals (RFP) — is the public document through which a federal agency, state agency, or foundation invites applications for a specific type of activity. The FOA describes what the sponsor is trying to accomplish, the types of projects it will fund, and any eligibility requirements.</w:t>
      </w:r>
    </w:p>
    <w:p>
      <w:pPr>
        <w:pStyle w:val="Heading3"/>
      </w:pPr>
      <w:r>
        <w:rPr>
          <w:b/>
          <w:i w:val="0"/>
          <w:color w:val="000000"/>
          <w:sz w:val="23"/>
        </w:rPr>
        <w:t>Why it matters</w:t>
      </w:r>
    </w:p>
    <w:p>
      <w:pPr>
        <w:spacing w:after="160"/>
      </w:pPr>
      <w:r>
        <w:rPr>
          <w:b w:val="0"/>
          <w:i w:val="0"/>
          <w:sz w:val="22"/>
        </w:rPr>
        <w:t>The FOA defines the research intent of the program before any individual award is made. If an agency specifically solicited research projects under a given program, that purpose carries forward to all awards made under that solicitation.</w:t>
      </w:r>
    </w:p>
    <w:p>
      <w:pPr>
        <w:pStyle w:val="Heading3"/>
      </w:pPr>
      <w:r>
        <w:rPr>
          <w:b/>
          <w:i w:val="0"/>
          <w:color w:val="000000"/>
          <w:sz w:val="23"/>
        </w:rPr>
        <w:t>How to find and use it</w:t>
      </w:r>
    </w:p>
    <w:p>
      <w:pPr>
        <w:spacing w:after="160"/>
      </w:pPr>
      <w:r>
        <w:rPr>
          <w:b w:val="0"/>
          <w:i w:val="0"/>
          <w:sz w:val="22"/>
        </w:rPr>
        <w:t>The FOA number is typically included in the NOA or the award file. Federal FOAs can be retrieved from NSF.gov (under “Funding”), grants.gov (searchable by CFDA/ALN number or agency), the NIH Guide to Grants and Contracts (grants.nih.gov/grants/guide), and agency-specific sites. Once retrieved, review the program description for language defining the activity type as research, applied research, or experimental development — or, as with NSF, note that the sponsoring program may legislatively define the entire portfolio as R&amp;D.</w:t>
      </w:r>
    </w:p>
    <w:p>
      <w:pPr>
        <w:spacing w:after="160"/>
      </w:pPr>
      <w:r>
        <w:rPr>
          <w:b w:val="0"/>
          <w:i/>
          <w:sz w:val="22"/>
        </w:rPr>
        <w:t>Example (L2 — R&amp;D): An NIH training-and-research program. The NOA does not explicitly state R&amp;D. The FOA is reviewed: the funding opportunity's stated goals include generating new scientific knowledge and require a research design. Classified R&amp;D — Applied Research.</w:t>
      </w:r>
    </w:p>
    <w:p>
      <w:pPr>
        <w:pStyle w:val="Heading2"/>
      </w:pPr>
      <w:r>
        <w:rPr>
          <w:b w:val="0"/>
          <w:color w:val="2F5496"/>
          <w:sz w:val="26"/>
        </w:rPr>
        <w:t>4.4 Level 3 — ALN / CFDA Number</w:t>
      </w:r>
    </w:p>
    <w:p>
      <w:pPr>
        <w:pStyle w:val="Heading3"/>
      </w:pPr>
      <w:r>
        <w:rPr>
          <w:b/>
          <w:i w:val="0"/>
          <w:color w:val="000000"/>
          <w:sz w:val="23"/>
        </w:rPr>
        <w:t>What it is</w:t>
      </w:r>
    </w:p>
    <w:p>
      <w:pPr>
        <w:spacing w:after="160"/>
      </w:pPr>
      <w:r>
        <w:rPr>
          <w:b w:val="0"/>
          <w:i w:val="0"/>
          <w:sz w:val="22"/>
        </w:rPr>
        <w:t>The Assistance Listings Number (ALN), formerly known as the Catalog of Federal Domestic Assistance (CFDA) number, is a five-digit identifier assigned to every federal assistance program. Each program has a formal listing on SAM.gov (System for Award Management) that includes a program description, objectives, eligibility information, and — importantly — the program's primary activity type.</w:t>
      </w:r>
    </w:p>
    <w:p>
      <w:pPr>
        <w:pStyle w:val="Heading3"/>
      </w:pPr>
      <w:r>
        <w:rPr>
          <w:b/>
          <w:i w:val="0"/>
          <w:color w:val="000000"/>
          <w:sz w:val="23"/>
        </w:rPr>
        <w:t>How to use it</w:t>
      </w:r>
    </w:p>
    <w:p>
      <w:pPr>
        <w:spacing w:after="160"/>
      </w:pPr>
      <w:r>
        <w:rPr>
          <w:b w:val="0"/>
          <w:i w:val="0"/>
          <w:sz w:val="22"/>
        </w:rPr>
        <w:t>Every federal grant will have an ALN/CFDA number in the award documentation or the institutional grant management system. Look up the number at sam.gov/fal and review the program objectives. If the program is described as a research program, or if the program objective includes generating new knowledge, classifying awards under that program as R&amp;D is appropriate. This is especially useful for programs where individual award documentation is sparse.</w:t>
      </w:r>
    </w:p>
    <w:p>
      <w:pPr>
        <w:spacing w:after="160"/>
      </w:pPr>
      <w:r>
        <w:rPr>
          <w:b w:val="0"/>
          <w:i w:val="0"/>
          <w:sz w:val="22"/>
        </w:rPr>
        <w:t>Useful patterns (always verify against the individual award): NSF's 47.xxx programs are legislatively defined as R&amp;D. NIH's 93.xxx programs require case-by-case review, since some (e.g., 93.859, Biomedical Research) are research programs while others are service or training programs. The Department of Defense's (DOD) 12.xxx programs are largely research-oriented. The Department of Health and Human Services' (DHHS) 93.5xx–93.6xx programs tend to be service-oriented.</w:t>
      </w:r>
    </w:p>
    <w:p>
      <w:pPr>
        <w:spacing w:after="160"/>
      </w:pPr>
      <w:r>
        <w:rPr>
          <w:b w:val="0"/>
          <w:i/>
          <w:sz w:val="22"/>
        </w:rPr>
        <w:t>Example (L3): A social services grant with thin award documentation. The ALN/CFDA lookup at SAM.gov confirms the federal program has an evaluation and research component. Classified R&amp;D at Level 3, based on the program-level designation.</w:t>
      </w:r>
    </w:p>
    <w:p>
      <w:pPr>
        <w:pStyle w:val="Heading3"/>
      </w:pPr>
      <w:r>
        <w:rPr>
          <w:b/>
          <w:i w:val="0"/>
          <w:color w:val="000000"/>
          <w:sz w:val="23"/>
        </w:rPr>
        <w:t>Limitations</w:t>
      </w:r>
    </w:p>
    <w:p>
      <w:pPr>
        <w:spacing w:after="160"/>
      </w:pPr>
      <w:r>
        <w:rPr>
          <w:b w:val="0"/>
          <w:i w:val="0"/>
          <w:sz w:val="22"/>
        </w:rPr>
        <w:t>Program descriptions are written at the program level and may not reflect the full range of activities funded under it — a program described broadly as a research program may fund individual grants that are training-only, and vice versa. For this reason, ALN/CFDA is Level 3 in the framework: legitimate evidence, but subordinate to award-level documentation (Levels 1 and 2).</w:t>
      </w:r>
    </w:p>
    <w:p>
      <w:pPr>
        <w:pStyle w:val="Heading2"/>
      </w:pPr>
      <w:r>
        <w:rPr>
          <w:b w:val="0"/>
          <w:color w:val="2F5496"/>
          <w:sz w:val="26"/>
        </w:rPr>
        <w:t>4.5 Level 4 — Supporting Documentation</w:t>
      </w:r>
    </w:p>
    <w:p>
      <w:pPr>
        <w:pStyle w:val="Heading3"/>
      </w:pPr>
      <w:r>
        <w:rPr>
          <w:b/>
          <w:i w:val="0"/>
          <w:color w:val="000000"/>
          <w:sz w:val="23"/>
        </w:rPr>
        <w:t>What it is</w:t>
      </w:r>
    </w:p>
    <w:p>
      <w:pPr>
        <w:spacing w:after="160"/>
      </w:pPr>
      <w:r>
        <w:rPr>
          <w:b w:val="0"/>
          <w:i w:val="0"/>
          <w:sz w:val="22"/>
        </w:rPr>
        <w:t>When federal-level sources are inconclusive, internal project documents can provide the basis for classification. This includes: the Internal Routing Form (IRF) completed by the PI at submission; the Letter of Intent (LOI) sent to the sponsor; the full proposal or application narrative; the Statement of Work (SOW) in the award file; and any written statement from the PI describing the project's research objectives.</w:t>
      </w:r>
    </w:p>
    <w:p>
      <w:pPr>
        <w:pStyle w:val="Heading3"/>
      </w:pPr>
      <w:r>
        <w:rPr>
          <w:b/>
          <w:i w:val="0"/>
          <w:color w:val="000000"/>
          <w:sz w:val="23"/>
        </w:rPr>
        <w:t>When and how to use it</w:t>
      </w:r>
    </w:p>
    <w:p>
      <w:pPr>
        <w:spacing w:after="160"/>
      </w:pPr>
      <w:r>
        <w:rPr>
          <w:b w:val="0"/>
          <w:i w:val="0"/>
          <w:sz w:val="22"/>
        </w:rPr>
        <w:t>Level 4 is appropriate when the NOA is a standard form without program-specific language, or the FOA is not available or does not clearly address R&amp;D activity, or the program's SAM.gov listing is ambiguous. In these cases, pull the IRF from Office of Research Administration files, or the PI's proposal from the grant file, and review for research design language: does the project involve data collection? Is there a hypothesis? Are findings expected to contribute to a body of knowledge?</w:t>
      </w:r>
    </w:p>
    <w:p>
      <w:pPr>
        <w:spacing w:after="160"/>
      </w:pPr>
      <w:r>
        <w:rPr>
          <w:b w:val="0"/>
          <w:i w:val="0"/>
          <w:sz w:val="22"/>
        </w:rPr>
        <w:t>On the IRF specifically, the PI declares the type of activity directly — look first at whether “Research &amp; Development” (as opposed to Instruction/Training) is checked. If R&amp;D is checked, along with a stated research character (Basic, Applied, or Experimental Development) and narrative support, classify as R&amp;D. If only outreach or instruction is indicated, classify as Not R&amp;D.</w:t>
      </w:r>
    </w:p>
    <w:p>
      <w:pPr>
        <w:spacing w:after="160"/>
      </w:pPr>
      <w:r>
        <w:rPr>
          <w:b w:val="0"/>
          <w:i w:val="0"/>
          <w:sz w:val="22"/>
        </w:rPr>
        <w:t>Level 4 requires the reviewer to exercise more judgment than Levels 1–3, and the documentation should be filed clearly in the award record so the basis for the determination can be reviewed later. PI statements obtained verbally should be documented in writing.</w:t>
      </w:r>
    </w:p>
    <w:p>
      <w:pPr>
        <w:spacing w:after="160"/>
      </w:pPr>
      <w:r>
        <w:rPr>
          <w:b w:val="0"/>
          <w:i/>
          <w:sz w:val="22"/>
        </w:rPr>
        <w:t>Example (L4 — R&amp;D): A community health research award. The NOA and FOA are not conclusive on research intent. The proposal summary is reviewed: the project design includes community-based research with systematic data collection, mixed-methods analysis, and an intent to contribute to published literature. Classified Applied Research.</w:t>
      </w:r>
    </w:p>
    <w:p>
      <w:pPr>
        <w:pStyle w:val="Heading2"/>
      </w:pPr>
      <w:r>
        <w:rPr>
          <w:b w:val="0"/>
          <w:color w:val="2F5496"/>
          <w:sz w:val="26"/>
        </w:rPr>
        <w:t>4.6 Level 5 — Institutional Record</w:t>
      </w:r>
    </w:p>
    <w:p>
      <w:pPr>
        <w:pStyle w:val="Heading3"/>
      </w:pPr>
      <w:r>
        <w:rPr>
          <w:b/>
          <w:i w:val="0"/>
          <w:color w:val="000000"/>
          <w:sz w:val="23"/>
        </w:rPr>
        <w:t>What it is</w:t>
      </w:r>
    </w:p>
    <w:p>
      <w:pPr>
        <w:spacing w:after="160"/>
      </w:pPr>
      <w:r>
        <w:rPr>
          <w:b w:val="0"/>
          <w:i w:val="0"/>
          <w:sz w:val="22"/>
        </w:rPr>
        <w:t>The Institutional Record level encompasses existing classifications and designations within the institution's own systems: records from the Office of Research Funds Accounting, the annual HERD listing, and Restricted Fund Account designations. This level is used only when no stronger documentation — NOA, FOA, ALN/CFDA, or supporting documentation — is accessible.</w:t>
      </w:r>
    </w:p>
    <w:p>
      <w:pPr>
        <w:spacing w:after="160"/>
      </w:pPr>
      <w:r>
        <w:rPr>
          <w:b w:val="0"/>
          <w:i w:val="0"/>
          <w:sz w:val="22"/>
        </w:rPr>
        <w:t>If starting a classification review from scratch, Level 5 will likely account for a large share of the first-pass list. That is honest and expected — label it accurately, and treat it as a prioritized list for gathering stronger documentation before the next reporting cycle.</w:t>
      </w:r>
    </w:p>
    <w:p>
      <w:pPr>
        <w:pStyle w:val="Heading1"/>
      </w:pPr>
      <w:r>
        <w:rPr>
          <w:b w:val="0"/>
          <w:color w:val="2F5496"/>
          <w:sz w:val="32"/>
        </w:rPr>
        <w:t>5. THE DETERMINATION PROCESS — STEP BY STEP</w:t>
      </w:r>
    </w:p>
    <w:p>
      <w:pPr>
        <w:pStyle w:val="Heading2"/>
      </w:pPr>
      <w:r>
        <w:rPr>
          <w:b w:val="0"/>
          <w:color w:val="2F5496"/>
          <w:sz w:val="26"/>
        </w:rPr>
        <w:t>5.1 Process Overview</w:t>
      </w:r>
    </w:p>
    <w:p>
      <w:pPr>
        <w:spacing w:after="160"/>
      </w:pPr>
      <w:r>
        <w:rPr>
          <w:b w:val="0"/>
          <w:i w:val="0"/>
          <w:sz w:val="22"/>
        </w:rPr>
        <w:t>The following process should be followed for each sponsored award under review. Review the Notice of Award first. If it is conclusive, document the classification and the evidence level. If it is not, proceed to the Funding Opportunity Announcement, then the ALN/CFDA listing, then supporting documentation, and finally the institutional record — stopping at the first level that gives a clear, defensible answer.</w:t>
      </w:r>
    </w:p>
    <w:p>
      <w:pPr>
        <w:pStyle w:val="Heading2"/>
      </w:pPr>
      <w:r>
        <w:rPr>
          <w:b w:val="0"/>
          <w:color w:val="2F5496"/>
          <w:sz w:val="26"/>
        </w:rPr>
        <w:t>5.2 Handling Disagreements Between Classifications</w:t>
      </w:r>
    </w:p>
    <w:p>
      <w:pPr>
        <w:spacing w:after="160"/>
      </w:pPr>
      <w:r>
        <w:rPr>
          <w:b w:val="0"/>
          <w:i w:val="0"/>
          <w:sz w:val="22"/>
        </w:rPr>
        <w:t>When the Office of Research Administration's classification differs from the previously chosen HERD listing, the process should proceed as follows: document the disagreement in the tracking file with both classifications and the basis for the ORA determination; review the original listing source to identify who made the classification and on what basis; where the ORA review has stronger evidence (for example, a direct NOA review versus informal judgment), the ORA classification should stand; and where the disagreement is material and the award involves significant expenditure, escalate to the Director of the Office of Research Administration, or other appropriate leadership, for a final, updated determination. In all cases, the classification that is better supported by documentary evidence should be recorded for HERD submission.</w:t>
      </w:r>
    </w:p>
    <w:p>
      <w:pPr>
        <w:pStyle w:val="Heading1"/>
      </w:pPr>
      <w:r>
        <w:rPr>
          <w:b w:val="0"/>
          <w:color w:val="2F5496"/>
          <w:sz w:val="32"/>
        </w:rPr>
        <w:t>6. NSF HERD SURVEY GUIDELINES — KEY REQUIREMENTS</w:t>
      </w:r>
    </w:p>
    <w:p>
      <w:pPr>
        <w:pStyle w:val="Heading2"/>
      </w:pPr>
      <w:r>
        <w:rPr>
          <w:b w:val="0"/>
          <w:color w:val="2F5496"/>
          <w:sz w:val="26"/>
        </w:rPr>
        <w:t>6.1 Survey Structure and Requirements</w:t>
      </w:r>
    </w:p>
    <w:p>
      <w:pPr>
        <w:spacing w:after="160"/>
      </w:pPr>
      <w:r>
        <w:rPr>
          <w:b w:val="0"/>
          <w:i w:val="0"/>
          <w:sz w:val="22"/>
        </w:rPr>
        <w:t>The NSF HERD Survey is conducted annually through NSF's National Center for Science and Engineering Statistics (NCSES). Participation is mandatory for U.S. universities and colleges that expended at least $150,000 in separately budgeted R&amp;D in the prior fiscal year, which for Morgan State makes participation effectively mandatory.</w:t>
      </w:r>
    </w:p>
    <w:p>
      <w:pPr>
        <w:spacing w:after="160"/>
      </w:pPr>
      <w:r>
        <w:rPr>
          <w:b w:val="0"/>
          <w:i w:val="0"/>
          <w:sz w:val="22"/>
        </w:rPr>
        <w:t>The survey collects data on R&amp;D expenditures by field of research (science and engineering versus non-science and engineering); source of funding (federal, state, industry, institutional, other); type of R&amp;D activity (Basic Research, Applied Research, Experimental Development); and department or discipline.</w:t>
      </w:r>
    </w:p>
    <w:p>
      <w:pPr>
        <w:pStyle w:val="Heading2"/>
      </w:pPr>
      <w:r>
        <w:rPr>
          <w:b w:val="0"/>
          <w:color w:val="2F5496"/>
          <w:sz w:val="26"/>
        </w:rPr>
        <w:t>6.2 The “Separately Budgeted” Standard</w:t>
      </w:r>
    </w:p>
    <w:p>
      <w:pPr>
        <w:spacing w:after="160"/>
      </w:pPr>
      <w:r>
        <w:rPr>
          <w:b w:val="0"/>
          <w:i w:val="0"/>
          <w:sz w:val="22"/>
        </w:rPr>
        <w:t>One of the most important HERD requirements is the “separately budgeted” criterion: NSF HERD counts only R&amp;D that is separately budgeted, meaning that research and non-research activities within a single award should, in principle, be distinguished if the award funds both. In practice, most sponsored awards are either primarily R&amp;D or primarily non-R&amp;D. For large grants that explicitly fund both research and service delivery components, the institution may need to estimate the research portion.</w:t>
      </w:r>
    </w:p>
    <w:p>
      <w:pPr>
        <w:pStyle w:val="Heading1"/>
      </w:pPr>
      <w:r>
        <w:rPr>
          <w:b w:val="0"/>
          <w:color w:val="2F5496"/>
          <w:sz w:val="32"/>
        </w:rPr>
        <w:t>7. WHAT OTHER INSTITUTIONS ARE DOING</w:t>
      </w:r>
    </w:p>
    <w:p>
      <w:pPr>
        <w:spacing w:after="160"/>
      </w:pPr>
      <w:r>
        <w:rPr>
          <w:b w:val="0"/>
          <w:i w:val="0"/>
          <w:sz w:val="22"/>
        </w:rPr>
        <w:t>Most research-intensive institutions — not only HBCUs and MSIs — do not have procedural documentation like this for HERD classification; the practice is informal almost everywhere. Common shortcuts include:</w:t>
      </w:r>
    </w:p>
    <w:p>
      <w:pPr>
        <w:pStyle w:val="ListBullet"/>
      </w:pPr>
      <w:r>
        <w:t>Sponsor-based classification — automatically classifying all grants from NSF, NIH, NASA, or DOE as R&amp;D and everything else as non-R&amp;D. Fast, but prone to error in both directions.</w:t>
      </w:r>
    </w:p>
    <w:p>
      <w:pPr>
        <w:pStyle w:val="ListBullet"/>
      </w:pPr>
      <w:r>
        <w:t>PI self-classification — relying on PIs to self-report whether their project is research, which introduces inconsistency based on individual judgment and familiarity with HERD definitions.</w:t>
      </w:r>
    </w:p>
    <w:p>
      <w:pPr>
        <w:pStyle w:val="ListBullet"/>
      </w:pPr>
      <w:r>
        <w:t>Historical carry-forward — maintaining prior years' classifications unless a PI actively requests a change, which fails to capture new grants or respond to changes in award purpose.</w:t>
      </w:r>
    </w:p>
    <w:p>
      <w:pPr>
        <w:spacing w:after="160"/>
      </w:pPr>
      <w:r>
        <w:rPr>
          <w:b w:val="0"/>
          <w:i w:val="0"/>
          <w:sz w:val="22"/>
        </w:rPr>
        <w:t>Professional organizations including NCURA (National Council of University Research Administrators), AURA (Association of University Research Administrators), and SRAI (Society of Research Administrators International) have published guidance emphasizing award-level documentation over sponsor-based shortcuts. What Morgan State is building through this framework goes beyond what most peer institutions have formally documented: by creating a five-level hierarchy of evidence and linking each classification to a specific, retrievable document, the Office of Research Administration is establishing a model that is both more rigorous and more transparent than typical HERD classification practice — and one that Morgan State is well-positioned to share through NCURA, AURA, or SRAI channels.</w:t>
      </w:r>
    </w:p>
    <w:p>
      <w:pPr>
        <w:pStyle w:val="Heading1"/>
      </w:pPr>
      <w:r>
        <w:rPr>
          <w:b w:val="0"/>
          <w:color w:val="2F5496"/>
          <w:sz w:val="32"/>
        </w:rPr>
        <w:t>8. EXAMPLES</w:t>
      </w:r>
    </w:p>
    <w:p>
      <w:pPr>
        <w:spacing w:after="200"/>
        <w:ind w:left="360"/>
      </w:pPr>
      <w:r>
        <w:rPr>
          <w:i/>
          <w:color w:val="5A6169"/>
          <w:sz w:val="20"/>
        </w:rPr>
        <w:t>Examples in this section are anonymized and marked “(Example)” — real award documents contain PI names, financial account identifiers, and other information that should not be reproduced in a publicly-shared document. Where a real, named award would strengthen a specific case, ORA can substitute one internally with the PI's permission; the public version of this framework keeps illustrative examples throughout.</w:t>
      </w:r>
    </w:p>
    <w:p>
      <w:pPr>
        <w:pStyle w:val="Heading2"/>
      </w:pPr>
      <w:r>
        <w:rPr>
          <w:b w:val="0"/>
          <w:color w:val="2F5496"/>
          <w:sz w:val="26"/>
        </w:rPr>
        <w:t>8.1 Confirmed R&amp;D — Strong Evidence</w:t>
      </w:r>
    </w:p>
    <w:p>
      <w:pPr>
        <w:spacing w:after="160"/>
      </w:pPr>
      <w:r>
        <w:rPr>
          <w:b w:val="0"/>
          <w:i w:val="0"/>
          <w:sz w:val="22"/>
        </w:rPr>
        <w:t>Research Centers in Minority Institutions (RCMI) is an NIH program that, by its own program definition, funds research infrastructure — so an award's RCMI designation is itself strong Level 3 evidence, even before reviewing the NOA or FOA.</w:t>
      </w:r>
    </w:p>
    <w:tbl>
      <w:tblPr>
        <w:tblStyle w:val="TableGrid"/>
        <w:tblW w:type="auto" w:w="0"/>
        <w:tblLook w:firstColumn="1" w:firstRow="1" w:lastColumn="0" w:lastRow="0" w:noHBand="0" w:noVBand="1" w:val="04A0"/>
      </w:tblPr>
      <w:tblGrid>
        <w:gridCol w:w="1872"/>
        <w:gridCol w:w="1872"/>
        <w:gridCol w:w="1872"/>
        <w:gridCol w:w="1872"/>
        <w:gridCol w:w="1872"/>
      </w:tblGrid>
      <w:tr>
        <w:tc>
          <w:tcPr>
            <w:tcW w:type="dxa" w:w="1872"/>
            <w:shd w:val="clear" w:color="auto" w:fill="E7E6E6"/>
          </w:tcPr>
          <w:p>
            <w:r>
              <w:rPr>
                <w:b/>
                <w:color w:val="000000"/>
                <w:sz w:val="20"/>
              </w:rPr>
              <w:t>Grant</w:t>
            </w:r>
          </w:p>
        </w:tc>
        <w:tc>
          <w:tcPr>
            <w:tcW w:type="dxa" w:w="1872"/>
            <w:shd w:val="clear" w:color="auto" w:fill="E7E6E6"/>
          </w:tcPr>
          <w:p>
            <w:r>
              <w:rPr>
                <w:b/>
                <w:color w:val="000000"/>
                <w:sz w:val="20"/>
              </w:rPr>
              <w:t>Agency</w:t>
            </w:r>
          </w:p>
        </w:tc>
        <w:tc>
          <w:tcPr>
            <w:tcW w:type="dxa" w:w="1872"/>
            <w:shd w:val="clear" w:color="auto" w:fill="E7E6E6"/>
          </w:tcPr>
          <w:p>
            <w:r>
              <w:rPr>
                <w:b/>
                <w:color w:val="000000"/>
                <w:sz w:val="20"/>
              </w:rPr>
              <w:t>Level</w:t>
            </w:r>
          </w:p>
        </w:tc>
        <w:tc>
          <w:tcPr>
            <w:tcW w:type="dxa" w:w="1872"/>
            <w:shd w:val="clear" w:color="auto" w:fill="E7E6E6"/>
          </w:tcPr>
          <w:p>
            <w:r>
              <w:rPr>
                <w:b/>
                <w:color w:val="000000"/>
                <w:sz w:val="20"/>
              </w:rPr>
              <w:t>Determination</w:t>
            </w:r>
          </w:p>
        </w:tc>
        <w:tc>
          <w:tcPr>
            <w:tcW w:type="dxa" w:w="1872"/>
            <w:shd w:val="clear" w:color="auto" w:fill="E7E6E6"/>
          </w:tcPr>
          <w:p>
            <w:r>
              <w:rPr>
                <w:b/>
                <w:color w:val="000000"/>
                <w:sz w:val="20"/>
              </w:rPr>
              <w:t>Evidence</w:t>
            </w:r>
          </w:p>
        </w:tc>
      </w:tr>
      <w:tr>
        <w:tc>
          <w:tcPr>
            <w:tcW w:type="dxa" w:w="1872"/>
          </w:tcPr>
          <w:p>
            <w:r>
              <w:rPr>
                <w:color w:val="000000"/>
                <w:sz w:val="20"/>
              </w:rPr>
              <w:t>NIH Research Center — Urban Health (Example)</w:t>
            </w:r>
          </w:p>
        </w:tc>
        <w:tc>
          <w:tcPr>
            <w:tcW w:type="dxa" w:w="1872"/>
          </w:tcPr>
          <w:p>
            <w:r>
              <w:rPr>
                <w:color w:val="000000"/>
                <w:sz w:val="20"/>
              </w:rPr>
              <w:t>NIH</w:t>
            </w:r>
          </w:p>
        </w:tc>
        <w:tc>
          <w:tcPr>
            <w:tcW w:type="dxa" w:w="1872"/>
          </w:tcPr>
          <w:p>
            <w:r>
              <w:rPr>
                <w:color w:val="000000"/>
                <w:sz w:val="20"/>
              </w:rPr>
              <w:t>L1–L3</w:t>
            </w:r>
          </w:p>
        </w:tc>
        <w:tc>
          <w:tcPr>
            <w:tcW w:type="dxa" w:w="1872"/>
          </w:tcPr>
          <w:p>
            <w:r>
              <w:rPr>
                <w:color w:val="000000"/>
                <w:sz w:val="20"/>
              </w:rPr>
              <w:t>R&amp;D — Applied Research</w:t>
            </w:r>
          </w:p>
        </w:tc>
        <w:tc>
          <w:tcPr>
            <w:tcW w:type="dxa" w:w="1872"/>
          </w:tcPr>
          <w:p>
            <w:r>
              <w:rPr>
                <w:color w:val="000000"/>
                <w:sz w:val="20"/>
              </w:rPr>
              <w:t>NOA, FOA, and ALN/CFDA all confirm research center infrastructure; RCMI designation is by definition research.</w:t>
            </w:r>
          </w:p>
        </w:tc>
      </w:tr>
      <w:tr>
        <w:tc>
          <w:tcPr>
            <w:tcW w:type="dxa" w:w="1872"/>
          </w:tcPr>
          <w:p>
            <w:r>
              <w:rPr>
                <w:color w:val="000000"/>
                <w:sz w:val="20"/>
              </w:rPr>
              <w:t>NASA Cooperative Research Agreement (Example)</w:t>
            </w:r>
          </w:p>
        </w:tc>
        <w:tc>
          <w:tcPr>
            <w:tcW w:type="dxa" w:w="1872"/>
          </w:tcPr>
          <w:p>
            <w:r>
              <w:rPr>
                <w:color w:val="000000"/>
                <w:sz w:val="20"/>
              </w:rPr>
              <w:t>NASA (prime award)</w:t>
            </w:r>
          </w:p>
        </w:tc>
        <w:tc>
          <w:tcPr>
            <w:tcW w:type="dxa" w:w="1872"/>
          </w:tcPr>
          <w:p>
            <w:r>
              <w:rPr>
                <w:color w:val="000000"/>
                <w:sz w:val="20"/>
              </w:rPr>
              <w:t>L1</w:t>
            </w:r>
          </w:p>
        </w:tc>
        <w:tc>
          <w:tcPr>
            <w:tcW w:type="dxa" w:w="1872"/>
          </w:tcPr>
          <w:p>
            <w:r>
              <w:rPr>
                <w:color w:val="000000"/>
                <w:sz w:val="20"/>
              </w:rPr>
              <w:t>R&amp;D — Applied Research</w:t>
            </w:r>
          </w:p>
        </w:tc>
        <w:tc>
          <w:tcPr>
            <w:tcW w:type="dxa" w:w="1872"/>
          </w:tcPr>
          <w:p>
            <w:r>
              <w:rPr>
                <w:color w:val="000000"/>
                <w:sz w:val="20"/>
              </w:rPr>
              <w:t>NOA confirms a prime cooperative agreement for NASA earth science research, with clear research objectives stated directly on the award.</w:t>
            </w:r>
          </w:p>
        </w:tc>
      </w:tr>
      <w:tr>
        <w:tc>
          <w:tcPr>
            <w:tcW w:type="dxa" w:w="1872"/>
          </w:tcPr>
          <w:p>
            <w:r>
              <w:rPr>
                <w:color w:val="000000"/>
                <w:sz w:val="20"/>
              </w:rPr>
              <w:t>NSF Advanced Science Research (Example)</w:t>
            </w:r>
          </w:p>
        </w:tc>
        <w:tc>
          <w:tcPr>
            <w:tcW w:type="dxa" w:w="1872"/>
          </w:tcPr>
          <w:p>
            <w:r>
              <w:rPr>
                <w:color w:val="000000"/>
                <w:sz w:val="20"/>
              </w:rPr>
              <w:t>NSF</w:t>
            </w:r>
          </w:p>
        </w:tc>
        <w:tc>
          <w:tcPr>
            <w:tcW w:type="dxa" w:w="1872"/>
          </w:tcPr>
          <w:p>
            <w:r>
              <w:rPr>
                <w:color w:val="000000"/>
                <w:sz w:val="20"/>
              </w:rPr>
              <w:t>L1</w:t>
            </w:r>
          </w:p>
        </w:tc>
        <w:tc>
          <w:tcPr>
            <w:tcW w:type="dxa" w:w="1872"/>
          </w:tcPr>
          <w:p>
            <w:r>
              <w:rPr>
                <w:color w:val="000000"/>
                <w:sz w:val="20"/>
              </w:rPr>
              <w:t>R&amp;D — Basic Research</w:t>
            </w:r>
          </w:p>
        </w:tc>
        <w:tc>
          <w:tcPr>
            <w:tcW w:type="dxa" w:w="1872"/>
          </w:tcPr>
          <w:p>
            <w:r>
              <w:rPr>
                <w:color w:val="000000"/>
                <w:sz w:val="20"/>
              </w:rPr>
              <w:t>The NOA's activity-type field is checked “Research” — the direct indicator alone is sufficient. (If a prior-year listing had this recorded as Not R&amp;D, the direct NOA indicator should take precedence and trigger reclassification.)</w:t>
            </w:r>
          </w:p>
        </w:tc>
      </w:tr>
    </w:tbl>
    <w:p/>
    <w:p>
      <w:pPr>
        <w:pStyle w:val="Heading2"/>
      </w:pPr>
      <w:r>
        <w:rPr>
          <w:b w:val="0"/>
          <w:color w:val="2F5496"/>
          <w:sz w:val="26"/>
        </w:rPr>
        <w:t>8.2 Not R&amp;D — Well-Documented</w:t>
      </w:r>
    </w:p>
    <w:tbl>
      <w:tblPr>
        <w:tblStyle w:val="TableGrid"/>
        <w:tblW w:type="auto" w:w="0"/>
        <w:tblLook w:firstColumn="1" w:firstRow="1" w:lastColumn="0" w:lastRow="0" w:noHBand="0" w:noVBand="1" w:val="04A0"/>
      </w:tblPr>
      <w:tblGrid>
        <w:gridCol w:w="1872"/>
        <w:gridCol w:w="1872"/>
        <w:gridCol w:w="1872"/>
        <w:gridCol w:w="1872"/>
        <w:gridCol w:w="1872"/>
      </w:tblGrid>
      <w:tr>
        <w:tc>
          <w:tcPr>
            <w:tcW w:type="dxa" w:w="1872"/>
            <w:shd w:val="clear" w:color="auto" w:fill="E7E6E6"/>
          </w:tcPr>
          <w:p>
            <w:r>
              <w:rPr>
                <w:b/>
                <w:color w:val="000000"/>
                <w:sz w:val="20"/>
              </w:rPr>
              <w:t>Grant</w:t>
            </w:r>
          </w:p>
        </w:tc>
        <w:tc>
          <w:tcPr>
            <w:tcW w:type="dxa" w:w="1872"/>
            <w:shd w:val="clear" w:color="auto" w:fill="E7E6E6"/>
          </w:tcPr>
          <w:p>
            <w:r>
              <w:rPr>
                <w:b/>
                <w:color w:val="000000"/>
                <w:sz w:val="20"/>
              </w:rPr>
              <w:t>Agency</w:t>
            </w:r>
          </w:p>
        </w:tc>
        <w:tc>
          <w:tcPr>
            <w:tcW w:type="dxa" w:w="1872"/>
            <w:shd w:val="clear" w:color="auto" w:fill="E7E6E6"/>
          </w:tcPr>
          <w:p>
            <w:r>
              <w:rPr>
                <w:b/>
                <w:color w:val="000000"/>
                <w:sz w:val="20"/>
              </w:rPr>
              <w:t>Level</w:t>
            </w:r>
          </w:p>
        </w:tc>
        <w:tc>
          <w:tcPr>
            <w:tcW w:type="dxa" w:w="1872"/>
            <w:shd w:val="clear" w:color="auto" w:fill="E7E6E6"/>
          </w:tcPr>
          <w:p>
            <w:r>
              <w:rPr>
                <w:b/>
                <w:color w:val="000000"/>
                <w:sz w:val="20"/>
              </w:rPr>
              <w:t>Determination</w:t>
            </w:r>
          </w:p>
        </w:tc>
        <w:tc>
          <w:tcPr>
            <w:tcW w:type="dxa" w:w="1872"/>
            <w:shd w:val="clear" w:color="auto" w:fill="E7E6E6"/>
          </w:tcPr>
          <w:p>
            <w:r>
              <w:rPr>
                <w:b/>
                <w:color w:val="000000"/>
                <w:sz w:val="20"/>
              </w:rPr>
              <w:t>Evidence</w:t>
            </w:r>
          </w:p>
        </w:tc>
      </w:tr>
      <w:tr>
        <w:tc>
          <w:tcPr>
            <w:tcW w:type="dxa" w:w="1872"/>
          </w:tcPr>
          <w:p>
            <w:r>
              <w:rPr>
                <w:color w:val="000000"/>
                <w:sz w:val="20"/>
              </w:rPr>
              <w:t>State Equipment Grant (Example)</w:t>
            </w:r>
          </w:p>
        </w:tc>
        <w:tc>
          <w:tcPr>
            <w:tcW w:type="dxa" w:w="1872"/>
          </w:tcPr>
          <w:p>
            <w:r>
              <w:rPr>
                <w:color w:val="000000"/>
                <w:sz w:val="20"/>
              </w:rPr>
              <w:t>State agency</w:t>
            </w:r>
          </w:p>
        </w:tc>
        <w:tc>
          <w:tcPr>
            <w:tcW w:type="dxa" w:w="1872"/>
          </w:tcPr>
          <w:p>
            <w:r>
              <w:rPr>
                <w:color w:val="000000"/>
                <w:sz w:val="20"/>
              </w:rPr>
              <w:t>L1</w:t>
            </w:r>
          </w:p>
        </w:tc>
        <w:tc>
          <w:tcPr>
            <w:tcW w:type="dxa" w:w="1872"/>
          </w:tcPr>
          <w:p>
            <w:r>
              <w:rPr>
                <w:color w:val="000000"/>
                <w:sz w:val="20"/>
              </w:rPr>
              <w:t>Not R&amp;D</w:t>
            </w:r>
          </w:p>
        </w:tc>
        <w:tc>
          <w:tcPr>
            <w:tcW w:type="dxa" w:w="1872"/>
          </w:tcPr>
          <w:p>
            <w:r>
              <w:rPr>
                <w:color w:val="000000"/>
                <w:sz w:val="20"/>
              </w:rPr>
              <w:t>NOA reviewed — award funds a security-infrastructure equipment purchase; no research objective.</w:t>
            </w:r>
          </w:p>
        </w:tc>
      </w:tr>
      <w:tr>
        <w:tc>
          <w:tcPr>
            <w:tcW w:type="dxa" w:w="1872"/>
          </w:tcPr>
          <w:p>
            <w:r>
              <w:rPr>
                <w:color w:val="000000"/>
                <w:sz w:val="20"/>
              </w:rPr>
              <w:t>NSF STEM Education Program (Example)</w:t>
            </w:r>
          </w:p>
        </w:tc>
        <w:tc>
          <w:tcPr>
            <w:tcW w:type="dxa" w:w="1872"/>
          </w:tcPr>
          <w:p>
            <w:r>
              <w:rPr>
                <w:color w:val="000000"/>
                <w:sz w:val="20"/>
              </w:rPr>
              <w:t>NSF</w:t>
            </w:r>
          </w:p>
        </w:tc>
        <w:tc>
          <w:tcPr>
            <w:tcW w:type="dxa" w:w="1872"/>
          </w:tcPr>
          <w:p>
            <w:r>
              <w:rPr>
                <w:color w:val="000000"/>
                <w:sz w:val="20"/>
              </w:rPr>
              <w:t>L2</w:t>
            </w:r>
          </w:p>
        </w:tc>
        <w:tc>
          <w:tcPr>
            <w:tcW w:type="dxa" w:w="1872"/>
          </w:tcPr>
          <w:p>
            <w:r>
              <w:rPr>
                <w:color w:val="000000"/>
                <w:sz w:val="20"/>
              </w:rPr>
              <w:t>Not R&amp;D</w:t>
            </w:r>
          </w:p>
        </w:tc>
        <w:tc>
          <w:tcPr>
            <w:tcW w:type="dxa" w:w="1872"/>
          </w:tcPr>
          <w:p>
            <w:r>
              <w:rPr>
                <w:color w:val="000000"/>
                <w:sz w:val="20"/>
              </w:rPr>
              <w:t>FOA reviewed — an NSF STEM education program; the primary activity is pedagogical improvement, not research generation.</w:t>
            </w:r>
          </w:p>
        </w:tc>
      </w:tr>
      <w:tr>
        <w:tc>
          <w:tcPr>
            <w:tcW w:type="dxa" w:w="1872"/>
          </w:tcPr>
          <w:p>
            <w:r>
              <w:rPr>
                <w:color w:val="000000"/>
                <w:sz w:val="20"/>
              </w:rPr>
              <w:t>Federal Mentoring Program (Example)</w:t>
            </w:r>
          </w:p>
        </w:tc>
        <w:tc>
          <w:tcPr>
            <w:tcW w:type="dxa" w:w="1872"/>
          </w:tcPr>
          <w:p>
            <w:r>
              <w:rPr>
                <w:color w:val="000000"/>
                <w:sz w:val="20"/>
              </w:rPr>
              <w:t>Federal agency</w:t>
            </w:r>
          </w:p>
        </w:tc>
        <w:tc>
          <w:tcPr>
            <w:tcW w:type="dxa" w:w="1872"/>
          </w:tcPr>
          <w:p>
            <w:r>
              <w:rPr>
                <w:color w:val="000000"/>
                <w:sz w:val="20"/>
              </w:rPr>
              <w:t>L2</w:t>
            </w:r>
          </w:p>
        </w:tc>
        <w:tc>
          <w:tcPr>
            <w:tcW w:type="dxa" w:w="1872"/>
          </w:tcPr>
          <w:p>
            <w:r>
              <w:rPr>
                <w:color w:val="000000"/>
                <w:sz w:val="20"/>
              </w:rPr>
              <w:t>Not R&amp;D</w:t>
            </w:r>
          </w:p>
        </w:tc>
        <w:tc>
          <w:tcPr>
            <w:tcW w:type="dxa" w:w="1872"/>
          </w:tcPr>
          <w:p>
            <w:r>
              <w:rPr>
                <w:color w:val="000000"/>
                <w:sz w:val="20"/>
              </w:rPr>
              <w:t>FOA reviewed — a mentoring and training program; the award scope is training delivery, not research.</w:t>
            </w:r>
          </w:p>
        </w:tc>
      </w:tr>
      <w:tr>
        <w:tc>
          <w:tcPr>
            <w:tcW w:type="dxa" w:w="1872"/>
          </w:tcPr>
          <w:p>
            <w:r>
              <w:rPr>
                <w:color w:val="000000"/>
                <w:sz w:val="20"/>
              </w:rPr>
              <w:t>State/Federal Services Program (Example)</w:t>
            </w:r>
          </w:p>
        </w:tc>
        <w:tc>
          <w:tcPr>
            <w:tcW w:type="dxa" w:w="1872"/>
          </w:tcPr>
          <w:p>
            <w:r>
              <w:rPr>
                <w:color w:val="000000"/>
                <w:sz w:val="20"/>
              </w:rPr>
              <w:t>State/Federal</w:t>
            </w:r>
          </w:p>
        </w:tc>
        <w:tc>
          <w:tcPr>
            <w:tcW w:type="dxa" w:w="1872"/>
          </w:tcPr>
          <w:p>
            <w:r>
              <w:rPr>
                <w:color w:val="000000"/>
                <w:sz w:val="20"/>
              </w:rPr>
              <w:t>L4</w:t>
            </w:r>
          </w:p>
        </w:tc>
        <w:tc>
          <w:tcPr>
            <w:tcW w:type="dxa" w:w="1872"/>
          </w:tcPr>
          <w:p>
            <w:r>
              <w:rPr>
                <w:color w:val="000000"/>
                <w:sz w:val="20"/>
              </w:rPr>
              <w:t>Not R&amp;D</w:t>
            </w:r>
          </w:p>
        </w:tc>
        <w:tc>
          <w:tcPr>
            <w:tcW w:type="dxa" w:w="1872"/>
          </w:tcPr>
          <w:p>
            <w:r>
              <w:rPr>
                <w:color w:val="000000"/>
                <w:sz w:val="20"/>
              </w:rPr>
              <w:t>IRF reviewed — a service delivery program; no research design or data collection methodology identified.</w:t>
            </w:r>
          </w:p>
        </w:tc>
      </w:tr>
    </w:tbl>
    <w:p/>
    <w:p>
      <w:pPr>
        <w:pStyle w:val="Heading2"/>
      </w:pPr>
      <w:r>
        <w:rPr>
          <w:b w:val="0"/>
          <w:color w:val="2F5496"/>
          <w:sz w:val="26"/>
        </w:rPr>
        <w:t>8.3 Borderline Cases — Classification Rationale</w:t>
      </w:r>
    </w:p>
    <w:p>
      <w:pPr>
        <w:spacing w:after="160"/>
      </w:pPr>
      <w:r>
        <w:rPr>
          <w:b w:val="0"/>
          <w:i w:val="0"/>
          <w:sz w:val="22"/>
        </w:rPr>
        <w:t>Program Evaluation Grants: classified as Not R&amp;D unless the evaluation is the primary activity and is designed to generate generalizable knowledge (for example, a randomized evaluation published in peer-reviewed literature). Program evaluations conducted purely for internal service purposes, even where data is collected, are generally service activities and not R&amp;D.</w:t>
      </w:r>
    </w:p>
    <w:p>
      <w:pPr>
        <w:spacing w:after="160"/>
      </w:pPr>
      <w:r>
        <w:rPr>
          <w:b w:val="0"/>
          <w:i w:val="0"/>
          <w:sz w:val="22"/>
        </w:rPr>
        <w:t>Community-Based Research: may qualify as Applied Research where the award includes a systematic research design with intent to produce generalizable findings — including RCMI awards, where the research character is typically well-documented. These require careful review at Level 4 (IRF or proposal review) when the NOA is not conclusive.</w:t>
      </w:r>
    </w:p>
    <w:p>
      <w:pPr>
        <w:spacing w:after="160"/>
      </w:pPr>
      <w:r>
        <w:rPr>
          <w:b w:val="0"/>
          <w:i w:val="0"/>
          <w:sz w:val="22"/>
        </w:rPr>
        <w:t>Conference Grants: NSF conference grants are generally classified as R&amp;D, consistent with NSF's own program-level classification of its awards, and not R&amp;D otherwise unless a specific FOA says so. Conference grants from other agencies require review of the FOA and the specific conference's stated purpose.</w:t>
      </w:r>
    </w:p>
    <w:p>
      <w:pPr>
        <w:pStyle w:val="Heading1"/>
      </w:pPr>
      <w:r>
        <w:rPr>
          <w:b w:val="0"/>
          <w:color w:val="2F5496"/>
          <w:sz w:val="32"/>
        </w:rPr>
        <w:t>9. BEST PRACTICES AND RECOMMENDATIONS</w:t>
      </w:r>
    </w:p>
    <w:p>
      <w:pPr>
        <w:spacing w:after="160"/>
      </w:pPr>
      <w:r>
        <w:rPr>
          <w:b w:val="0"/>
          <w:i w:val="0"/>
          <w:sz w:val="22"/>
        </w:rPr>
        <w:t>For research administrators:</w:t>
      </w:r>
    </w:p>
    <w:p>
      <w:pPr>
        <w:pStyle w:val="ListBullet"/>
      </w:pPr>
      <w:r>
        <w:t>Always start with the NOA, and look first for a direct R&amp;D indicator before reading into its purpose language — this resolves the majority of classification questions on its own.</w:t>
      </w:r>
    </w:p>
    <w:p>
      <w:pPr>
        <w:pStyle w:val="ListBullet"/>
      </w:pPr>
      <w:r>
        <w:t>NOAs should be filed electronically in a standardized location so they are accessible during HERD review.</w:t>
      </w:r>
    </w:p>
    <w:p>
      <w:pPr>
        <w:pStyle w:val="ListBullet"/>
      </w:pPr>
      <w:r>
        <w:t>Document every determination. Even when the classification seems obvious, record the basis — a note that says “NOA reviewed, direct R&amp;D indicator present, classified R&amp;D” takes thirty seconds to write and provides critical protection.</w:t>
      </w:r>
    </w:p>
    <w:p>
      <w:pPr>
        <w:pStyle w:val="ListBullet"/>
      </w:pPr>
      <w:r>
        <w:t>Do not assume based on agency alone. NIH funds training programs. NSF funds education programs. DOD funds service contracts. The agency is a starting point, not a determination.</w:t>
      </w:r>
    </w:p>
    <w:p>
      <w:pPr>
        <w:pStyle w:val="ListBullet"/>
      </w:pPr>
      <w:r>
        <w:t>Flag borderline grants early. When a grant's R&amp;D status is unclear at the time of award setup, flag it immediately and initiate a Level 2–4 review before the HERD cycle.</w:t>
      </w:r>
    </w:p>
    <w:p>
      <w:pPr>
        <w:pStyle w:val="ListBullet"/>
      </w:pPr>
      <w:r>
        <w:t>Keep a living classification file. Update the classification record when an award's scope changes — through a modification or supplement — or when better documentation becomes available.</w:t>
      </w:r>
    </w:p>
    <w:p>
      <w:pPr>
        <w:pStyle w:val="Heading1"/>
      </w:pPr>
      <w:r>
        <w:rPr>
          <w:b w:val="0"/>
          <w:color w:val="2F5496"/>
          <w:sz w:val="32"/>
        </w:rPr>
        <w:t>10. CONCLUSION</w:t>
      </w:r>
    </w:p>
    <w:p>
      <w:pPr>
        <w:spacing w:after="160"/>
      </w:pPr>
      <w:r>
        <w:rPr>
          <w:b w:val="0"/>
          <w:i w:val="0"/>
          <w:sz w:val="22"/>
        </w:rPr>
        <w:t>The challenge of R&amp;D classification for HERD reporting is not unique to any single institution. Across U.S. higher education, the absence of a formalized, document-based classification process has led to inconsistent reporting, missed R&amp;D counts, and limited defensibility when reporting methodology is questioned.</w:t>
      </w:r>
    </w:p>
    <w:p>
      <w:pPr>
        <w:spacing w:after="160"/>
      </w:pPr>
      <w:r>
        <w:rPr>
          <w:b w:val="0"/>
          <w:i w:val="0"/>
          <w:sz w:val="22"/>
        </w:rPr>
        <w:t>This framework addresses that gap directly. By anchoring every classification decision in a specific, retrievable document — beginning with the Notice of Award and working systematically through a hierarchy of evidence — the Office of Research Administration can report HERD data with confidence that each classification is supported by something more than institutional memory or agency-based assumption.</w:t>
      </w:r>
    </w:p>
    <w:p>
      <w:pPr>
        <w:spacing w:after="160"/>
      </w:pPr>
      <w:r>
        <w:rPr>
          <w:b w:val="0"/>
          <w:i w:val="0"/>
          <w:sz w:val="22"/>
        </w:rPr>
        <w:t>Looking ahead, the goal is to embed this framework into Morgan State's standard award setup workflow, so that R&amp;D classification happens at the beginning of an award's life rather than at the end, and so that supporting documentation is gathered as a natural part of award administration rather than as a separate, retrospective exercise.</w:t>
      </w:r>
    </w:p>
    <w:p>
      <w:pPr>
        <w:spacing w:after="160"/>
      </w:pPr>
      <w:r>
        <w:rPr>
          <w:b w:val="0"/>
          <w:i w:val="0"/>
          <w:sz w:val="22"/>
        </w:rPr>
        <w:t>This guide will be updated as the HERD Survey evolves, as federal guidance changes, and as Morgan State's sponsored portfolio grows and diversifies. Feedback from Office of Research Administration staff, faculty PIs, and research administration colleagues at peer institutions is welcome.</w:t>
      </w:r>
    </w:p>
    <w:p>
      <w:pPr>
        <w:pStyle w:val="Heading1"/>
      </w:pPr>
      <w:r>
        <w:rPr>
          <w:b w:val="0"/>
          <w:color w:val="2F5496"/>
          <w:sz w:val="32"/>
        </w:rPr>
        <w:t>APPENDIX A. QUICK HERD CLASSIFICATION DECISION TREE</w:t>
      </w:r>
    </w:p>
    <w:p>
      <w:pPr>
        <w:pStyle w:val="ListBullet"/>
      </w:pPr>
      <w:r>
        <w:t>Review the Notice of Award (NOA) and look for a direct R&amp;D indicator.</w:t>
      </w:r>
    </w:p>
    <w:p>
      <w:pPr>
        <w:pStyle w:val="ListBullet"/>
      </w:pPr>
      <w:r>
        <w:t>If the NOA is conclusive, classify and document the evidence level.</w:t>
      </w:r>
    </w:p>
    <w:p>
      <w:pPr>
        <w:pStyle w:val="ListBullet"/>
      </w:pPr>
      <w:r>
        <w:t>Otherwise, review the Funding Opportunity Announcement (FOA/RFA).</w:t>
      </w:r>
    </w:p>
    <w:p>
      <w:pPr>
        <w:pStyle w:val="ListBullet"/>
      </w:pPr>
      <w:r>
        <w:t>If needed, review the ALN/CFDA description at SAM.gov.</w:t>
      </w:r>
    </w:p>
    <w:p>
      <w:pPr>
        <w:pStyle w:val="ListBullet"/>
      </w:pPr>
      <w:r>
        <w:t>Review the proposal, Statement of Work (SOW), Internal Routing Form (IRF), or PI documentation.</w:t>
      </w:r>
    </w:p>
    <w:p>
      <w:pPr>
        <w:pStyle w:val="ListBullet"/>
      </w:pPr>
      <w:r>
        <w:t>Use the institutional record only when no stronger evidence is available.</w:t>
      </w:r>
    </w:p>
    <w:p>
      <w:pPr>
        <w:pStyle w:val="Heading1"/>
      </w:pPr>
      <w:r>
        <w:rPr>
          <w:b w:val="0"/>
          <w:color w:val="2F5496"/>
          <w:sz w:val="32"/>
        </w:rPr>
        <w:t>APPENDIX B. HERD CLASSIFICATION CHECKLIST</w:t>
      </w:r>
    </w:p>
    <w:tbl>
      <w:tblPr>
        <w:tblStyle w:val="TableGrid"/>
        <w:tblW w:type="auto" w:w="0"/>
        <w:tblLook w:firstColumn="1" w:firstRow="1" w:lastColumn="0" w:lastRow="0" w:noHBand="0" w:noVBand="1" w:val="04A0"/>
      </w:tblPr>
      <w:tblGrid>
        <w:gridCol w:w="3120"/>
        <w:gridCol w:w="3120"/>
        <w:gridCol w:w="3120"/>
      </w:tblGrid>
      <w:tr>
        <w:tc>
          <w:tcPr>
            <w:tcW w:type="dxa" w:w="3120"/>
            <w:shd w:val="clear" w:color="auto" w:fill="E7E6E6"/>
          </w:tcPr>
          <w:p>
            <w:r>
              <w:rPr>
                <w:b/>
                <w:color w:val="000000"/>
                <w:sz w:val="20"/>
              </w:rPr>
              <w:t>☐</w:t>
            </w:r>
          </w:p>
        </w:tc>
        <w:tc>
          <w:tcPr>
            <w:tcW w:type="dxa" w:w="3120"/>
            <w:shd w:val="clear" w:color="auto" w:fill="E7E6E6"/>
          </w:tcPr>
          <w:p>
            <w:r>
              <w:rPr>
                <w:b/>
                <w:color w:val="000000"/>
                <w:sz w:val="20"/>
              </w:rPr>
              <w:t>Classification Step</w:t>
            </w:r>
          </w:p>
        </w:tc>
        <w:tc>
          <w:tcPr>
            <w:tcW w:type="dxa" w:w="3120"/>
            <w:shd w:val="clear" w:color="auto" w:fill="E7E6E6"/>
          </w:tcPr>
          <w:p>
            <w:r>
              <w:rPr>
                <w:b/>
                <w:color w:val="000000"/>
                <w:sz w:val="20"/>
              </w:rPr>
              <w:t>Notes / Evidence Filed</w:t>
            </w:r>
          </w:p>
        </w:tc>
      </w:tr>
      <w:tr>
        <w:tc>
          <w:tcPr>
            <w:tcW w:type="dxa" w:w="3120"/>
          </w:tcPr>
          <w:p>
            <w:r>
              <w:rPr>
                <w:color w:val="000000"/>
                <w:sz w:val="20"/>
              </w:rPr>
              <w:t>☐</w:t>
            </w:r>
          </w:p>
        </w:tc>
        <w:tc>
          <w:tcPr>
            <w:tcW w:type="dxa" w:w="3120"/>
          </w:tcPr>
          <w:p>
            <w:r>
              <w:rPr>
                <w:color w:val="000000"/>
                <w:sz w:val="20"/>
              </w:rPr>
              <w:t>NOA reviewed</w:t>
            </w:r>
          </w:p>
        </w:tc>
        <w:tc>
          <w:tcPr>
            <w:tcW w:type="dxa" w:w="3120"/>
          </w:tcPr>
          <w:p>
            <w:r>
              <w:rPr>
                <w:color w:val="000000"/>
                <w:sz w:val="20"/>
              </w:rPr>
            </w:r>
          </w:p>
        </w:tc>
      </w:tr>
      <w:tr>
        <w:tc>
          <w:tcPr>
            <w:tcW w:type="dxa" w:w="3120"/>
          </w:tcPr>
          <w:p>
            <w:r>
              <w:rPr>
                <w:color w:val="000000"/>
                <w:sz w:val="20"/>
              </w:rPr>
              <w:t>☐</w:t>
            </w:r>
          </w:p>
        </w:tc>
        <w:tc>
          <w:tcPr>
            <w:tcW w:type="dxa" w:w="3120"/>
          </w:tcPr>
          <w:p>
            <w:r>
              <w:rPr>
                <w:color w:val="000000"/>
                <w:sz w:val="20"/>
              </w:rPr>
              <w:t>FOA/RFA reviewed (if applicable)</w:t>
            </w:r>
          </w:p>
        </w:tc>
        <w:tc>
          <w:tcPr>
            <w:tcW w:type="dxa" w:w="3120"/>
          </w:tcPr>
          <w:p>
            <w:r>
              <w:rPr>
                <w:color w:val="000000"/>
                <w:sz w:val="20"/>
              </w:rPr>
            </w:r>
          </w:p>
        </w:tc>
      </w:tr>
      <w:tr>
        <w:tc>
          <w:tcPr>
            <w:tcW w:type="dxa" w:w="3120"/>
          </w:tcPr>
          <w:p>
            <w:r>
              <w:rPr>
                <w:color w:val="000000"/>
                <w:sz w:val="20"/>
              </w:rPr>
              <w:t>☐</w:t>
            </w:r>
          </w:p>
        </w:tc>
        <w:tc>
          <w:tcPr>
            <w:tcW w:type="dxa" w:w="3120"/>
          </w:tcPr>
          <w:p>
            <w:r>
              <w:rPr>
                <w:color w:val="000000"/>
                <w:sz w:val="20"/>
              </w:rPr>
              <w:t>ALN/CFDA verified</w:t>
            </w:r>
          </w:p>
        </w:tc>
        <w:tc>
          <w:tcPr>
            <w:tcW w:type="dxa" w:w="3120"/>
          </w:tcPr>
          <w:p>
            <w:r>
              <w:rPr>
                <w:color w:val="000000"/>
                <w:sz w:val="20"/>
              </w:rPr>
            </w:r>
          </w:p>
        </w:tc>
      </w:tr>
      <w:tr>
        <w:tc>
          <w:tcPr>
            <w:tcW w:type="dxa" w:w="3120"/>
          </w:tcPr>
          <w:p>
            <w:r>
              <w:rPr>
                <w:color w:val="000000"/>
                <w:sz w:val="20"/>
              </w:rPr>
              <w:t>☐</w:t>
            </w:r>
          </w:p>
        </w:tc>
        <w:tc>
          <w:tcPr>
            <w:tcW w:type="dxa" w:w="3120"/>
          </w:tcPr>
          <w:p>
            <w:r>
              <w:rPr>
                <w:color w:val="000000"/>
                <w:sz w:val="20"/>
              </w:rPr>
              <w:t>Supporting documentation reviewed</w:t>
            </w:r>
          </w:p>
        </w:tc>
        <w:tc>
          <w:tcPr>
            <w:tcW w:type="dxa" w:w="3120"/>
          </w:tcPr>
          <w:p>
            <w:r>
              <w:rPr>
                <w:color w:val="000000"/>
                <w:sz w:val="20"/>
              </w:rPr>
            </w:r>
          </w:p>
        </w:tc>
      </w:tr>
      <w:tr>
        <w:tc>
          <w:tcPr>
            <w:tcW w:type="dxa" w:w="3120"/>
          </w:tcPr>
          <w:p>
            <w:r>
              <w:rPr>
                <w:color w:val="000000"/>
                <w:sz w:val="20"/>
              </w:rPr>
              <w:t>☐</w:t>
            </w:r>
          </w:p>
        </w:tc>
        <w:tc>
          <w:tcPr>
            <w:tcW w:type="dxa" w:w="3120"/>
          </w:tcPr>
          <w:p>
            <w:r>
              <w:rPr>
                <w:color w:val="000000"/>
                <w:sz w:val="20"/>
              </w:rPr>
              <w:t>Evidence level recorded</w:t>
            </w:r>
          </w:p>
        </w:tc>
        <w:tc>
          <w:tcPr>
            <w:tcW w:type="dxa" w:w="3120"/>
          </w:tcPr>
          <w:p>
            <w:r>
              <w:rPr>
                <w:color w:val="000000"/>
                <w:sz w:val="20"/>
              </w:rPr>
            </w:r>
          </w:p>
        </w:tc>
      </w:tr>
      <w:tr>
        <w:tc>
          <w:tcPr>
            <w:tcW w:type="dxa" w:w="3120"/>
          </w:tcPr>
          <w:p>
            <w:r>
              <w:rPr>
                <w:color w:val="000000"/>
                <w:sz w:val="20"/>
              </w:rPr>
              <w:t>☐</w:t>
            </w:r>
          </w:p>
        </w:tc>
        <w:tc>
          <w:tcPr>
            <w:tcW w:type="dxa" w:w="3120"/>
          </w:tcPr>
          <w:p>
            <w:r>
              <w:rPr>
                <w:color w:val="000000"/>
                <w:sz w:val="20"/>
              </w:rPr>
              <w:t>Reviewer initials/date</w:t>
            </w:r>
          </w:p>
        </w:tc>
        <w:tc>
          <w:tcPr>
            <w:tcW w:type="dxa" w:w="3120"/>
          </w:tcPr>
          <w:p>
            <w:r>
              <w:rPr>
                <w:color w:val="000000"/>
                <w:sz w:val="20"/>
              </w:rPr>
            </w:r>
          </w:p>
        </w:tc>
      </w:tr>
    </w:tbl>
    <w:p/>
    <w:sectPr w:rsidR="00FC693F" w:rsidRPr="0006063C" w:rsidSect="00034616">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680" w:val="center"/>
        <w:tab w:pos="9360" w:val="right"/>
      </w:tabs>
    </w:pPr>
    <w:r>
      <w:rPr>
        <w:color w:val="000000"/>
        <w:sz w:val="20"/>
      </w:rPr>
      <w:t>Morgan State University</w:t>
    </w:r>
    <w:r>
      <w:tab/>
    </w:r>
    <w:r>
      <w:rPr>
        <w:color w:val="000000"/>
        <w:sz w:val="20"/>
      </w:rPr>
      <w:t>R&amp;D Classification Framework: Policy and Guidelines</w:t>
    </w:r>
    <w:r>
      <w:tab/>
    </w:r>
    <w:r>
      <w:rPr>
        <w:color w:val="000000"/>
        <w:sz w:val="20"/>
      </w:rPr>
      <w:t xml:space="preserve">Page </w:t>
    </w:r>
    <w:r>
      <w:fldChar w:fldCharType="begin"/>
      <w:instrText xml:space="preserve">PAGE</w:instrText>
      <w:fldChar w:fldCharType="separate"/>
      <w:t>1</w:t>
      <w:fldChar w:fldCharType="end"/>
    </w:r>
    <w:r>
      <w:rPr>
        <w:color w:val="000000"/>
        <w:sz w:val="20"/>
      </w:rPr>
      <w:t xml:space="preserve"> of </w:t>
    </w:r>
    <w: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hyperlink w:anchor="top">
      <w:r>
        <w:rPr>
          <w:color w:val="963634"/>
          <w:u w:val="single"/>
          <w:sz w:val="16"/>
        </w:rPr>
        <w:t>to top of document</w:t>
      </w:r>
    </w:hyperlink>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eastAsia="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